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Ⅰ. Executive Summary: 금융시장 구조 변화와 상품 전략 시사점</w:t>
      </w:r>
    </w:p>
    <w:p>
      <w:pPr>
        <w:pStyle w:val="Heading2"/>
      </w:pPr>
      <w:r>
        <w:t>1. 금리 사이클 전환이 만든 새 지형</w:t>
      </w:r>
    </w:p>
    <w:p>
      <w:pPr>
        <w:pStyle w:val="Heading3"/>
      </w:pPr>
      <w:r>
        <w:t>1) 38개월 만의 인하 전환과 예대마진 압박</w:t>
      </w:r>
    </w:p>
    <w:p>
      <w:r>
        <w:t>본 보고서는 은행·증권·보험 계열을 함께 보유한 종합 금융그룹 관점에서 작성함. 이하 "우리 회사"는 이 전제를 따름.</w:t>
      </w:r>
    </w:p>
    <w:p>
      <w:r>
        <w:t>금리를 판매 논거로 쓰는 전략은 종료됨. 기준금리는 2023년 1월 3.50%로 인상을 종료한 뒤 약 1년 9개월 동결됐고, 2024년 10월 38개월 만에 3.25%로 인하 전환한 뒤 11월 3.00%, 2025년 2.50% 내외까지 하락함.</w:t>
      </w:r>
    </w:p>
    <w:p>
      <w:r>
        <w:t>정기예금 금리는 4%대 특판에서 2%대로 내려앉았고, 대환대출 인프라 확대로 대출 자산의 이탈 비용이 소멸함. NIM 방어로 손익을 지키는 국면은 끝났으며 비이자수익과 잔고 기반 수수료로 축을 옮겨야 함.</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r>
            <w:r>
              <w:rPr>
                <w:b/>
              </w:rPr>
              <w:t>지표</w:t>
            </w:r>
          </w:p>
        </w:tc>
        <w:tc>
          <w:tcPr>
            <w:tcW w:type="dxa" w:w="1728"/>
          </w:tcPr>
          <w:p>
            <w:r>
              <w:rPr>
                <w:b/>
              </w:rPr>
            </w:r>
            <w:r>
              <w:rPr>
                <w:b/>
              </w:rPr>
              <w:t>2023년</w:t>
            </w:r>
          </w:p>
        </w:tc>
        <w:tc>
          <w:tcPr>
            <w:tcW w:type="dxa" w:w="1728"/>
          </w:tcPr>
          <w:p>
            <w:r>
              <w:rPr>
                <w:b/>
              </w:rPr>
            </w:r>
            <w:r>
              <w:rPr>
                <w:b/>
              </w:rPr>
              <w:t>2024년</w:t>
            </w:r>
          </w:p>
        </w:tc>
        <w:tc>
          <w:tcPr>
            <w:tcW w:type="dxa" w:w="1728"/>
          </w:tcPr>
          <w:p>
            <w:r>
              <w:rPr>
                <w:b/>
              </w:rPr>
            </w:r>
            <w:r>
              <w:rPr>
                <w:b/>
              </w:rPr>
              <w:t>2025년</w:t>
            </w:r>
          </w:p>
        </w:tc>
        <w:tc>
          <w:tcPr>
            <w:tcW w:type="dxa" w:w="1728"/>
          </w:tcPr>
          <w:p>
            <w:r>
              <w:rPr>
                <w:b/>
              </w:rPr>
            </w:r>
            <w:r>
              <w:rPr>
                <w:b/>
              </w:rPr>
              <w:t>우리 회사 손익 영향</w:t>
            </w:r>
          </w:p>
        </w:tc>
      </w:tr>
      <w:tr>
        <w:tc>
          <w:tcPr>
            <w:tcW w:type="dxa" w:w="1728"/>
          </w:tcPr>
          <w:p>
            <w:r/>
            <w:r>
              <w:t>기준금리</w:t>
            </w:r>
          </w:p>
        </w:tc>
        <w:tc>
          <w:tcPr>
            <w:tcW w:type="dxa" w:w="1728"/>
          </w:tcPr>
          <w:p>
            <w:r/>
            <w:r>
              <w:t>1월 3.50% 인상 종료</w:t>
            </w:r>
          </w:p>
        </w:tc>
        <w:tc>
          <w:tcPr>
            <w:tcW w:type="dxa" w:w="1728"/>
          </w:tcPr>
          <w:p>
            <w:r/>
            <w:r>
              <w:t>10월 3.25%, 11월 3.00%</w:t>
            </w:r>
          </w:p>
        </w:tc>
        <w:tc>
          <w:tcPr>
            <w:tcW w:type="dxa" w:w="1728"/>
          </w:tcPr>
          <w:p>
            <w:r/>
            <w:r>
              <w:t>2.50% 내외</w:t>
            </w:r>
          </w:p>
        </w:tc>
        <w:tc>
          <w:tcPr>
            <w:tcW w:type="dxa" w:w="1728"/>
          </w:tcPr>
          <w:p>
            <w:r/>
            <w:r>
              <w:t>NIM 축소 상시화</w:t>
            </w:r>
          </w:p>
        </w:tc>
      </w:tr>
      <w:tr>
        <w:tc>
          <w:tcPr>
            <w:tcW w:type="dxa" w:w="1728"/>
          </w:tcPr>
          <w:p>
            <w:r/>
            <w:r>
              <w:t>정기예금 금리</w:t>
            </w:r>
          </w:p>
        </w:tc>
        <w:tc>
          <w:tcPr>
            <w:tcW w:type="dxa" w:w="1728"/>
          </w:tcPr>
          <w:p>
            <w:r/>
            <w:r>
              <w:t>연 4%대 특판</w:t>
            </w:r>
          </w:p>
        </w:tc>
        <w:tc>
          <w:tcPr>
            <w:tcW w:type="dxa" w:w="1728"/>
          </w:tcPr>
          <w:p>
            <w:r/>
            <w:r>
              <w:t>3%대</w:t>
            </w:r>
          </w:p>
        </w:tc>
        <w:tc>
          <w:tcPr>
            <w:tcW w:type="dxa" w:w="1728"/>
          </w:tcPr>
          <w:p>
            <w:r/>
            <w:r>
              <w:t>2%대</w:t>
            </w:r>
          </w:p>
        </w:tc>
        <w:tc>
          <w:tcPr>
            <w:tcW w:type="dxa" w:w="1728"/>
          </w:tcPr>
          <w:p>
            <w:r/>
            <w:r>
              <w:t>금리 소구력 소멸</w:t>
            </w:r>
          </w:p>
        </w:tc>
      </w:tr>
      <w:tr>
        <w:tc>
          <w:tcPr>
            <w:tcW w:type="dxa" w:w="1728"/>
          </w:tcPr>
          <w:p>
            <w:r/>
            <w:r>
              <w:t>원/달러 환율</w:t>
            </w:r>
          </w:p>
        </w:tc>
        <w:tc>
          <w:tcPr>
            <w:tcW w:type="dxa" w:w="1728"/>
          </w:tcPr>
          <w:p>
            <w:r/>
            <w:r>
              <w:t>1,300원대</w:t>
            </w:r>
          </w:p>
        </w:tc>
        <w:tc>
          <w:tcPr>
            <w:tcW w:type="dxa" w:w="1728"/>
          </w:tcPr>
          <w:p>
            <w:r/>
            <w:r>
              <w:t>연말 1,470원 선</w:t>
            </w:r>
          </w:p>
        </w:tc>
        <w:tc>
          <w:tcPr>
            <w:tcW w:type="dxa" w:w="1728"/>
          </w:tcPr>
          <w:p>
            <w:r/>
            <w:r>
              <w:t>1,350~1,450원</w:t>
            </w:r>
          </w:p>
        </w:tc>
        <w:tc>
          <w:tcPr>
            <w:tcW w:type="dxa" w:w="1728"/>
          </w:tcPr>
          <w:p>
            <w:r/>
            <w:r>
              <w:t>해외자산 성과의 주된 변수</w:t>
            </w:r>
          </w:p>
        </w:tc>
      </w:tr>
      <w:tr>
        <w:tc>
          <w:tcPr>
            <w:tcW w:type="dxa" w:w="1728"/>
          </w:tcPr>
          <w:p>
            <w:r/>
            <w:r>
              <w:t>코스피</w:t>
            </w:r>
          </w:p>
        </w:tc>
        <w:tc>
          <w:tcPr>
            <w:tcW w:type="dxa" w:w="1728"/>
          </w:tcPr>
          <w:p>
            <w:r/>
            <w:r>
              <w:t>+18%대</w:t>
            </w:r>
          </w:p>
        </w:tc>
        <w:tc>
          <w:tcPr>
            <w:tcW w:type="dxa" w:w="1728"/>
          </w:tcPr>
          <w:p>
            <w:r/>
            <w:r>
              <w:t>약 -9.6%</w:t>
            </w:r>
          </w:p>
        </w:tc>
        <w:tc>
          <w:tcPr>
            <w:tcW w:type="dxa" w:w="1728"/>
          </w:tcPr>
          <w:p>
            <w:r/>
            <w:r>
              <w:t>4,000선 돌파, 60% 내외</w:t>
            </w:r>
          </w:p>
        </w:tc>
        <w:tc>
          <w:tcPr>
            <w:tcW w:type="dxa" w:w="1728"/>
          </w:tcPr>
          <w:p>
            <w:r/>
            <w:r>
              <w:t>투자상품 수수료 변동성 확대</w:t>
            </w:r>
          </w:p>
        </w:tc>
      </w:tr>
      <w:tr>
        <w:tc>
          <w:tcPr>
            <w:tcW w:type="dxa" w:w="1728"/>
          </w:tcPr>
          <w:p>
            <w:r/>
            <w:r>
              <w:t>소비자물가</w:t>
            </w:r>
          </w:p>
        </w:tc>
        <w:tc>
          <w:tcPr>
            <w:tcW w:type="dxa" w:w="1728"/>
          </w:tcPr>
          <w:p>
            <w:r/>
            <w:r>
              <w:t>3%대</w:t>
            </w:r>
          </w:p>
        </w:tc>
        <w:tc>
          <w:tcPr>
            <w:tcW w:type="dxa" w:w="1728"/>
          </w:tcPr>
          <w:p>
            <w:r/>
            <w:r>
              <w:t>2%대</w:t>
            </w:r>
          </w:p>
        </w:tc>
        <w:tc>
          <w:tcPr>
            <w:tcW w:type="dxa" w:w="1728"/>
          </w:tcPr>
          <w:p>
            <w:r/>
            <w:r>
              <w:t>2% 내외</w:t>
            </w:r>
          </w:p>
        </w:tc>
        <w:tc>
          <w:tcPr>
            <w:tcW w:type="dxa" w:w="1728"/>
          </w:tcPr>
          <w:p>
            <w:r/>
            <w:r>
              <w:t>실질금리 매력 축소</w:t>
            </w:r>
          </w:p>
        </w:tc>
      </w:tr>
    </w:tbl>
    <w:p/>
    <w:p>
      <w:pPr>
        <w:pStyle w:val="Heading3"/>
      </w:pPr>
      <w:r>
        <w:t>2) 수신에서 투자·연금으로의 자금 이동</w:t>
      </w:r>
    </w:p>
    <w:p>
      <w:r>
        <w:t>자금 이동은 완료된 사실이며 되돌릴 대상이 아님. ETF 순자산총액은 2022년 말 약 79조원에서 2025년 200조원 돌파로, 퇴직연금 적립금은 약 336조원에서 500조원 안팎(추정)으로, 해외주식 보관금액은 약 550억 달러에서 1,500억 달러 안팎(추정)으로 확대됨.</w:t>
      </w:r>
    </w:p>
    <w:p>
      <w:r>
        <w:t>세 성장축 모두 3년 만에 1.5~2.5배 커졌고 예금은 자금이 잠시 머무는 대기 계좌가 됨. 과제는 수신 잔고 방어가 아니라 자사 계좌 안에서의 이동 설계임.</w:t>
      </w:r>
    </w:p>
    <w:p>
      <w:pPr>
        <w:pStyle w:val="Heading3"/>
      </w:pPr>
      <w:r>
        <w:t>3) 환율 변동과 해외자산 상품의 실질 수익률</w:t>
      </w:r>
    </w:p>
    <w:p>
      <w:r>
        <w:t>환헤지 선택권은 부가 옵션이 아니라 상품 정체성임. 환율은 2024년 말 1,470원 선까지 급등한 뒤 2025년 1,350~1,450원에서 등락했고, 같은 지수를 추종해도 환헤지(H)형과 환노출(UH)형의 성과가 갈렸음.</w:t>
      </w:r>
    </w:p>
    <w:p>
      <w:r>
        <w:t>리스크는 수익률이 아니라 설명 책임에 있음. 환노출형을 환율 설명 없이 팔면 환율 반전 시 분쟁으로 직결되므로 H/UH 병행과 시나리오 고지를 판매 절차에 내장해야 함.</w:t>
      </w:r>
    </w:p>
    <w:p>
      <w:pPr>
        <w:pStyle w:val="Heading2"/>
      </w:pPr>
      <w:r>
        <w:t>2. 경쟁 구도의 재편</w:t>
      </w:r>
    </w:p>
    <w:p>
      <w:pPr>
        <w:pStyle w:val="Heading3"/>
      </w:pPr>
      <w:r>
        <w:t>1) 해외투자·ETF가 만든 증권의 성장 축</w:t>
      </w:r>
    </w:p>
    <w:p>
      <w:r>
        <w:t>증권업은 최근 3년 유일하게 수익원 교체에 성공한 업권임. 2024년 코스피가 약 -9.6%로 부진했음에도 실적이 방어된 것은 해외주식 수수료와 채권 판매 덕분이며, 개인 채권 순매수는 2023~2024년 연 30~40조원대에 달했음.</w:t>
      </w:r>
    </w:p>
    <w:p>
      <w:r>
        <w:t>핵심은 수익 성격의 변화임. 회전율 기반 유량 수익에서 잔고 기반 저량 수익으로 이동했고, 잔고 수익은 변동성이 낮은 대신 이탈 시 회복이 어려움.</w:t>
      </w:r>
    </w:p>
    <w:p>
      <w:pPr>
        <w:pStyle w:val="Heading3"/>
      </w:pPr>
      <w:r>
        <w:t>2) 은행의 비이자수익 전환 압력</w:t>
      </w:r>
    </w:p>
    <w:p>
      <w:r>
        <w:t>은행은 사상 최대 이익과 사상 최대 제약을 동시에 맞음. 4대 금융지주 합산 순이익은 2023년 약 15조원에서 2024년 약 16.5조원(사상 최대), 2025년 17~18조원대(추정)로 늘었으나 이자이익 비중은 총이익의 80% 내외로 유지됨.</w:t>
      </w:r>
    </w:p>
    <w:p>
      <w:r>
        <w:t>주력이던 펀드·신탁·ELS 판매가 위축되며 "수수료를 늘려야 하는데 팔 고마진 상품이 없다"는 역설이 발생함. 대안은 퇴직연금·ISA 잔고 수수료와 계열 연계 수익이나 규모 대체까지는 시간이 필요함.</w:t>
      </w:r>
    </w:p>
    <w:p>
      <w:pPr>
        <w:pStyle w:val="Heading3"/>
      </w:pPr>
      <w:r>
        <w:t>3) 빅테크·핀테크의 접점 장악</w:t>
      </w:r>
    </w:p>
    <w:p>
      <w:r>
        <w:t>경쟁의 경계가 업권이 아니라 접점 소유 여부를 따라 다시 그어짐. 토스는 MAU 2,000만명대에서 2024년 연간 흑자로 전환했고 카카오뱅크는 고객 2,400만명 이상을 확보했으며, 카카오페이·네이버페이는 결제를 거점으로 보험·투자·대출 비교로 확장함.</w:t>
      </w:r>
    </w:p>
    <w:p>
      <w:r>
        <w:t>접점은 플랫폼이, 제조는 전통 금융사가 맡는 분업이 굳어지는 중임. 접점을 잃은 제조사는 가격 경쟁에만 노출되며 마진이 구조적으로 압축됨.</w:t>
      </w:r>
    </w:p>
    <w:p>
      <w:pPr>
        <w:pStyle w:val="Heading2"/>
      </w:pPr>
      <w:r>
        <w:t>3. 판매 리스크가 상품성을 결정하는 시대</w:t>
      </w:r>
    </w:p>
    <w:p>
      <w:pPr>
        <w:pStyle w:val="Heading3"/>
      </w:pPr>
      <w:r>
        <w:t>1) 홍콩 H지수 ELS 사태가 남긴 것</w:t>
      </w:r>
    </w:p>
    <w:p>
      <w:r>
        <w:t>이 사태의 본질은 손실이 아니라 판매 절차임. 2024년 상반기 손실 확정으로 은행권 배상 규모가 1조원대에 달했고, 고난도 상품이 창구에서 예금 대체재처럼 판매된 것이 원인이었음.</w:t>
      </w:r>
    </w:p>
    <w:p>
      <w:r>
        <w:t>직접 비용보다 큰 것은 기회 상실 비용임. 상품 승인의 1차 관문은 "얼마나 팔릴 것인가"에서 "손실 시 어떻게 설명하고 입증할 것인가"로 이동해야 함.</w:t>
      </w:r>
    </w:p>
    <w:p>
      <w:pPr>
        <w:pStyle w:val="Heading3"/>
      </w:pPr>
      <w:r>
        <w:t>2) 규제 선반영 설계의 필요성</w:t>
      </w:r>
    </w:p>
    <w:p>
      <w:r>
        <w:t>"규제가 허용하면 한다"는 접근은 유효하지 않음. 최근 3년의 패턴은 세제·보호제도는 완화 방향, 판매 규율은 강화 방향으로 갈린 비대칭임.</w:t>
      </w:r>
    </w:p>
    <w:p>
      <w:r>
        <w:t>단기납 종신보험 환급률 130%대 경쟁은 환급률 상한·해지율 가정 규제로 종료됐고 커버드콜 ETF 분배율 표기 경쟁에도 제동이 걸림. 가정과 표기를 공격적으로 잡아 만든 우위는 예외 없이 감독 개입으로 회수됨.</w:t>
      </w:r>
    </w:p>
    <w:p>
      <w:pPr>
        <w:pStyle w:val="Heading2"/>
      </w:pPr>
      <w:r>
        <w:t>4. 전략 방향 제언</w:t>
      </w:r>
    </w:p>
    <w:p>
      <w:pPr>
        <w:pStyle w:val="Heading3"/>
      </w:pPr>
      <w:r>
        <w:t>1) 인컴·연금 중심 재편</w:t>
      </w:r>
    </w:p>
    <w:p>
      <w:r>
        <w:t>향후 3~5년 포트폴리오의 중심은 인컴과 연금임. 기준금리가 2%대에 머무는 한 예금 대체 수요는 현금흐름형 상품으로 계속 이동함.</w:t>
      </w:r>
    </w:p>
    <w:p>
      <w:r>
        <w:t>다만 현재 인컴 라인업은 옵션 프리미엄 기반에 편중돼 있음. 분배 재원이 원금에서 나올 수 있다는 특성이 설명되지 않으면 ELS와 같은 경로를 밟으므로, 확보할 것은 고분배율이 아니라 분배 재원의 투명성임.</w:t>
      </w:r>
    </w:p>
    <w:p>
      <w:pPr>
        <w:pStyle w:val="Heading3"/>
      </w:pPr>
      <w:r>
        <w:t>2) 초고령사회 대응 상품군 선점</w:t>
      </w:r>
    </w:p>
    <w:p>
      <w:r>
        <w:t>2025년 65세 이상 인구 비중이 20%를 넘어 초고령사회에 진입함. 연금 인출·간병·요양·상속 수요는 경기와 무관하게 확대되는 유일한 구조적 수요임.</w:t>
      </w:r>
    </w:p>
    <w:p>
      <w:r>
        <w:t>소비자에게는 하나의 문제지만 회사 내부에서는 각각 다른 사업부의 상품이며, 이를 한 설계로 묶는 사업자가 없다는 점이 최대 공백임. 계열 3사를 보유한 우리 회사는 이 공백을 메울 구조적 우위를 가짐.</w:t>
      </w:r>
    </w:p>
    <w:p>
      <w:pPr>
        <w:pStyle w:val="Heading3"/>
      </w:pPr>
      <w:r>
        <w:t>3) 판매 적합성 체계 고도화</w:t>
      </w:r>
    </w:p>
    <w:p>
      <w:r>
        <w:t>적합성 체계는 비용이 아니라 판매 가능 상품의 범위를 결정하는 자산임. 절차 신뢰가 없으면 고마진 상품 자체를 취급할 수 없음.</w:t>
      </w:r>
    </w:p>
    <w:p>
      <w:r>
        <w:t>즉시 정비할 항목은 상품별 대상 고객군과 적합성 기준의 명문화, 설명의무·녹취 요건의 채널별 표준화, 손실 시나리오와 고지 방식의 사전 문서화임.</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r>
            <w:r>
              <w:rPr>
                <w:b/>
              </w:rPr>
              <w:t>전략 방향</w:t>
            </w:r>
          </w:p>
        </w:tc>
        <w:tc>
          <w:tcPr>
            <w:tcW w:type="dxa" w:w="2160"/>
          </w:tcPr>
          <w:p>
            <w:r>
              <w:rPr>
                <w:b/>
              </w:rPr>
            </w:r>
            <w:r>
              <w:rPr>
                <w:b/>
              </w:rPr>
              <w:t>실행 축</w:t>
            </w:r>
          </w:p>
        </w:tc>
        <w:tc>
          <w:tcPr>
            <w:tcW w:type="dxa" w:w="2160"/>
          </w:tcPr>
          <w:p>
            <w:r>
              <w:rPr>
                <w:b/>
              </w:rPr>
            </w:r>
            <w:r>
              <w:rPr>
                <w:b/>
              </w:rPr>
              <w:t>기대 손익 효과</w:t>
            </w:r>
          </w:p>
        </w:tc>
        <w:tc>
          <w:tcPr>
            <w:tcW w:type="dxa" w:w="2160"/>
          </w:tcPr>
          <w:p>
            <w:r>
              <w:rPr>
                <w:b/>
              </w:rPr>
            </w:r>
            <w:r>
              <w:rPr>
                <w:b/>
              </w:rPr>
              <w:t>판매·규제 리스크</w:t>
            </w:r>
          </w:p>
        </w:tc>
      </w:tr>
      <w:tr>
        <w:tc>
          <w:tcPr>
            <w:tcW w:type="dxa" w:w="2160"/>
          </w:tcPr>
          <w:p>
            <w:r/>
            <w:r>
              <w:t>인컴 라인 재편</w:t>
            </w:r>
          </w:p>
        </w:tc>
        <w:tc>
          <w:tcPr>
            <w:tcW w:type="dxa" w:w="2160"/>
          </w:tcPr>
          <w:p>
            <w:r/>
            <w:r>
              <w:t>분배 재원 투명형으로 교체</w:t>
            </w:r>
          </w:p>
        </w:tc>
        <w:tc>
          <w:tcPr>
            <w:tcW w:type="dxa" w:w="2160"/>
          </w:tcPr>
          <w:p>
            <w:r/>
            <w:r>
              <w:t>잔고 기반 보수 수익 확대</w:t>
            </w:r>
          </w:p>
        </w:tc>
        <w:tc>
          <w:tcPr>
            <w:tcW w:type="dxa" w:w="2160"/>
          </w:tcPr>
          <w:p>
            <w:r/>
            <w:r>
              <w:t>표기 규제, 원금 훼손 설명</w:t>
            </w:r>
          </w:p>
        </w:tc>
      </w:tr>
      <w:tr>
        <w:tc>
          <w:tcPr>
            <w:tcW w:type="dxa" w:w="2160"/>
          </w:tcPr>
          <w:p>
            <w:r/>
            <w:r>
              <w:t>연금 잔고 확보</w:t>
            </w:r>
          </w:p>
        </w:tc>
        <w:tc>
          <w:tcPr>
            <w:tcW w:type="dxa" w:w="2160"/>
          </w:tcPr>
          <w:p>
            <w:r/>
            <w:r>
              <w:t>실물이전 방어·유치, 자문 결합</w:t>
            </w:r>
          </w:p>
        </w:tc>
        <w:tc>
          <w:tcPr>
            <w:tcW w:type="dxa" w:w="2160"/>
          </w:tcPr>
          <w:p>
            <w:r/>
            <w:r>
              <w:t>장기 잔고, 낮은 CAC</w:t>
            </w:r>
          </w:p>
        </w:tc>
        <w:tc>
          <w:tcPr>
            <w:tcW w:type="dxa" w:w="2160"/>
          </w:tcPr>
          <w:p>
            <w:r/>
            <w:r>
              <w:t>수수료 인하로 마진 압축</w:t>
            </w:r>
          </w:p>
        </w:tc>
      </w:tr>
      <w:tr>
        <w:tc>
          <w:tcPr>
            <w:tcW w:type="dxa" w:w="2160"/>
          </w:tcPr>
          <w:p>
            <w:r/>
            <w:r>
              <w:t>초고령 상품군</w:t>
            </w:r>
          </w:p>
        </w:tc>
        <w:tc>
          <w:tcPr>
            <w:tcW w:type="dxa" w:w="2160"/>
          </w:tcPr>
          <w:p>
            <w:r/>
            <w:r>
              <w:t>간병·치매 담보+요양 서비스</w:t>
            </w:r>
          </w:p>
        </w:tc>
        <w:tc>
          <w:tcPr>
            <w:tcW w:type="dxa" w:w="2160"/>
          </w:tcPr>
          <w:p>
            <w:r/>
            <w:r>
              <w:t>CSM 기여 상위 라인 확보</w:t>
            </w:r>
          </w:p>
        </w:tc>
        <w:tc>
          <w:tcPr>
            <w:tcW w:type="dxa" w:w="2160"/>
          </w:tcPr>
          <w:p>
            <w:r/>
            <w:r>
              <w:t>위험률 데이터 부족</w:t>
            </w:r>
          </w:p>
        </w:tc>
      </w:tr>
      <w:tr>
        <w:tc>
          <w:tcPr>
            <w:tcW w:type="dxa" w:w="2160"/>
          </w:tcPr>
          <w:p>
            <w:r/>
            <w:r>
              <w:t>적합성 체계</w:t>
            </w:r>
          </w:p>
        </w:tc>
        <w:tc>
          <w:tcPr>
            <w:tcW w:type="dxa" w:w="2160"/>
          </w:tcPr>
          <w:p>
            <w:r/>
            <w:r>
              <w:t>판매 요건·녹취·시나리오 표준화</w:t>
            </w:r>
          </w:p>
        </w:tc>
        <w:tc>
          <w:tcPr>
            <w:tcW w:type="dxa" w:w="2160"/>
          </w:tcPr>
          <w:p>
            <w:r/>
            <w:r>
              <w:t>고마진 상품 취급 회복</w:t>
            </w:r>
          </w:p>
        </w:tc>
        <w:tc>
          <w:tcPr>
            <w:tcW w:type="dxa" w:w="2160"/>
          </w:tcPr>
          <w:p>
            <w:r/>
            <w:r>
              <w:t>초기 판매 효율 저하</w:t>
            </w:r>
          </w:p>
        </w:tc>
      </w:tr>
      <w:tr>
        <w:tc>
          <w:tcPr>
            <w:tcW w:type="dxa" w:w="2160"/>
          </w:tcPr>
          <w:p>
            <w:r/>
            <w:r>
              <w:t>해외·환리스크</w:t>
            </w:r>
          </w:p>
        </w:tc>
        <w:tc>
          <w:tcPr>
            <w:tcW w:type="dxa" w:w="2160"/>
          </w:tcPr>
          <w:p>
            <w:r/>
            <w:r>
              <w:t>H/UH 병행, 환율 고지 내장</w:t>
            </w:r>
          </w:p>
        </w:tc>
        <w:tc>
          <w:tcPr>
            <w:tcW w:type="dxa" w:w="2160"/>
          </w:tcPr>
          <w:p>
            <w:r/>
            <w:r>
              <w:t>외환·해외자산 수수료 방어</w:t>
            </w:r>
          </w:p>
        </w:tc>
        <w:tc>
          <w:tcPr>
            <w:tcW w:type="dxa" w:w="2160"/>
          </w:tcPr>
          <w:p>
            <w:r/>
            <w:r>
              <w:t>환율 반전 시 민원 집중</w:t>
            </w:r>
          </w:p>
        </w:tc>
      </w:tr>
    </w:tbl>
    <w:p/>
    <w:p>
      <w:pPr>
        <w:pStyle w:val="Heading1"/>
      </w:pPr>
      <w:r>
        <w:t>Ⅱ. 거시 환경 분석: 금리 인하기의 자금 이동</w:t>
      </w:r>
    </w:p>
    <w:p>
      <w:pPr>
        <w:pStyle w:val="Heading2"/>
      </w:pPr>
      <w:r>
        <w:t>1. 금리 사이클과 조달 환경</w:t>
      </w:r>
    </w:p>
    <w:p>
      <w:pPr>
        <w:pStyle w:val="Heading3"/>
      </w:pPr>
      <w:r>
        <w:t>1) 최근 3년 기준금리 추이</w:t>
      </w:r>
    </w:p>
    <w:p>
      <w:r>
        <w:t>금리 사이클은 "고점 형성 → 장기 동결 → 완만한 인하"의 3단계로 진행됨. 인하 전환의 방아쇠는 미국이 당겼으며, 연준이 2024년 9월 0.5%p 인하(빅컷)로 완화에 나서자 한국은행도 2024년 10월 3.25%로 낮췄고 2025년 2.50% 내외까지 하락함.</w:t>
      </w:r>
    </w:p>
    <w:p>
      <w:r>
        <w:t>의미는 금리 수준이 아니라 금리 기대에 있음. 인하가 가시화되자 만기를 짧게 가져가거나 수시입출식에 머무는 선택이 늘며 경쟁축이 "유동성과 결합한 금리"로 이동함.</w:t>
      </w:r>
    </w:p>
    <w:p>
      <w:pPr>
        <w:pStyle w:val="Heading3"/>
      </w:pPr>
      <w:r>
        <w:t>2) 예금금리 하락과 수신 경쟁</w:t>
      </w:r>
    </w:p>
    <w:p>
      <w:r>
        <w:t>고금리 특판으로 자금을 모으는 공식은 폐기됨. 4%대이던 정기예금 특판이 2%대로 내려오며 금리 격차가 만드는 유인이 사라짐.</w:t>
      </w:r>
    </w:p>
    <w:p>
      <w:r>
        <w:t>경쟁은 파킹통장 등 저원가성 상품 확보와 급여이체·카드실적 기반 우대금리로 갈림. 인터넷전문은행의 매일 이자 지급형·모임통장은 금리가 아닌 경험 설계로 차별화한 사례이며, 조달비용을 늘리는 금리 경쟁보다 체감 설계가 유리함.</w:t>
      </w:r>
    </w:p>
    <w:p>
      <w:pPr>
        <w:pStyle w:val="Heading3"/>
      </w:pPr>
      <w:r>
        <w:t>3) 예대금리차와 수익 구조 압박</w:t>
      </w:r>
    </w:p>
    <w:p>
      <w:r>
        <w:t>예대금리차 축소는 일시 현상이 아니라 상시 구조임. 대환대출로 대출 자산이 언제든 이탈 가능해진 동시에, 공시 확대와 금리 인하 요구로 대출금리는 하방 압력, 조달금리는 하방 경직 압력을 받음.</w:t>
      </w:r>
    </w:p>
    <w:p>
      <w:r>
        <w:t>선택지는 세 가지로 좁혀짐. 비이자 수익원 확대, 잔고를 오래 붙잡는 상품으로의 이동, 고객당 상품 수 확대를 통한 이탈 비용 상승임.</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r>
            <w:r>
              <w:rPr>
                <w:b/>
              </w:rPr>
              <w:t>손익 변수</w:t>
            </w:r>
          </w:p>
        </w:tc>
        <w:tc>
          <w:tcPr>
            <w:tcW w:type="dxa" w:w="2160"/>
          </w:tcPr>
          <w:p>
            <w:r>
              <w:rPr>
                <w:b/>
              </w:rPr>
            </w:r>
            <w:r>
              <w:rPr>
                <w:b/>
              </w:rPr>
              <w:t>변동 시나리오</w:t>
            </w:r>
          </w:p>
        </w:tc>
        <w:tc>
          <w:tcPr>
            <w:tcW w:type="dxa" w:w="2160"/>
          </w:tcPr>
          <w:p>
            <w:r>
              <w:rPr>
                <w:b/>
              </w:rPr>
            </w:r>
            <w:r>
              <w:rPr>
                <w:b/>
              </w:rPr>
              <w:t>손익 영향</w:t>
            </w:r>
          </w:p>
        </w:tc>
        <w:tc>
          <w:tcPr>
            <w:tcW w:type="dxa" w:w="2160"/>
          </w:tcPr>
          <w:p>
            <w:r>
              <w:rPr>
                <w:b/>
              </w:rPr>
            </w:r>
            <w:r>
              <w:rPr>
                <w:b/>
              </w:rPr>
              <w:t>우리 회사 대응</w:t>
            </w:r>
          </w:p>
        </w:tc>
      </w:tr>
      <w:tr>
        <w:tc>
          <w:tcPr>
            <w:tcW w:type="dxa" w:w="2160"/>
          </w:tcPr>
          <w:p>
            <w:r/>
            <w:r>
              <w:t>기준금리</w:t>
            </w:r>
          </w:p>
        </w:tc>
        <w:tc>
          <w:tcPr>
            <w:tcW w:type="dxa" w:w="2160"/>
          </w:tcPr>
          <w:p>
            <w:r/>
            <w:r>
              <w:t>-0.25%p 추가 인하</w:t>
            </w:r>
          </w:p>
        </w:tc>
        <w:tc>
          <w:tcPr>
            <w:tcW w:type="dxa" w:w="2160"/>
          </w:tcPr>
          <w:p>
            <w:r/>
            <w:r>
              <w:t>운용수익률 하락, NIM 축소</w:t>
            </w:r>
          </w:p>
        </w:tc>
        <w:tc>
          <w:tcPr>
            <w:tcW w:type="dxa" w:w="2160"/>
          </w:tcPr>
          <w:p>
            <w:r/>
            <w:r>
              <w:t>저원가성 예금 비중 확대</w:t>
            </w:r>
          </w:p>
        </w:tc>
      </w:tr>
      <w:tr>
        <w:tc>
          <w:tcPr>
            <w:tcW w:type="dxa" w:w="2160"/>
          </w:tcPr>
          <w:p>
            <w:r/>
            <w:r>
              <w:t>대출 이탈률</w:t>
            </w:r>
          </w:p>
        </w:tc>
        <w:tc>
          <w:tcPr>
            <w:tcW w:type="dxa" w:w="2160"/>
          </w:tcPr>
          <w:p>
            <w:r/>
            <w:r>
              <w:t>대환 상시화로 상승</w:t>
            </w:r>
          </w:p>
        </w:tc>
        <w:tc>
          <w:tcPr>
            <w:tcW w:type="dxa" w:w="2160"/>
          </w:tcPr>
          <w:p>
            <w:r/>
            <w:r>
              <w:t>이자이익 기반 축소</w:t>
            </w:r>
          </w:p>
        </w:tc>
        <w:tc>
          <w:tcPr>
            <w:tcW w:type="dxa" w:w="2160"/>
          </w:tcPr>
          <w:p>
            <w:r/>
            <w:r>
              <w:t>심사 속도·비대면 완결성</w:t>
            </w:r>
          </w:p>
        </w:tc>
      </w:tr>
      <w:tr>
        <w:tc>
          <w:tcPr>
            <w:tcW w:type="dxa" w:w="2160"/>
          </w:tcPr>
          <w:p>
            <w:r/>
            <w:r>
              <w:t>잔고 수수료율</w:t>
            </w:r>
          </w:p>
        </w:tc>
        <w:tc>
          <w:tcPr>
            <w:tcW w:type="dxa" w:w="2160"/>
          </w:tcPr>
          <w:p>
            <w:r/>
            <w:r>
              <w:t>-5bp 경쟁 압력</w:t>
            </w:r>
          </w:p>
        </w:tc>
        <w:tc>
          <w:tcPr>
            <w:tcW w:type="dxa" w:w="2160"/>
          </w:tcPr>
          <w:p>
            <w:r/>
            <w:r>
              <w:t>단위 마진 축소</w:t>
            </w:r>
          </w:p>
        </w:tc>
        <w:tc>
          <w:tcPr>
            <w:tcW w:type="dxa" w:w="2160"/>
          </w:tcPr>
          <w:p>
            <w:r/>
            <w:r>
              <w:t>자문·일임 보수 병행</w:t>
            </w:r>
          </w:p>
        </w:tc>
      </w:tr>
      <w:tr>
        <w:tc>
          <w:tcPr>
            <w:tcW w:type="dxa" w:w="2160"/>
          </w:tcPr>
          <w:p>
            <w:r/>
            <w:r>
              <w:t>판매 수수료</w:t>
            </w:r>
          </w:p>
        </w:tc>
        <w:tc>
          <w:tcPr>
            <w:tcW w:type="dxa" w:w="2160"/>
          </w:tcPr>
          <w:p>
            <w:r/>
            <w:r>
              <w:t>고난도 상품 제약 지속</w:t>
            </w:r>
          </w:p>
        </w:tc>
        <w:tc>
          <w:tcPr>
            <w:tcW w:type="dxa" w:w="2160"/>
          </w:tcPr>
          <w:p>
            <w:r/>
            <w:r>
              <w:t>비이자수익 회복 지연</w:t>
            </w:r>
          </w:p>
        </w:tc>
        <w:tc>
          <w:tcPr>
            <w:tcW w:type="dxa" w:w="2160"/>
          </w:tcPr>
          <w:p>
            <w:r/>
            <w:r>
              <w:t>설명 가능한 중위험 라인</w:t>
            </w:r>
          </w:p>
        </w:tc>
      </w:tr>
      <w:tr>
        <w:tc>
          <w:tcPr>
            <w:tcW w:type="dxa" w:w="2160"/>
          </w:tcPr>
          <w:p>
            <w:r/>
            <w:r>
              <w:t>환율</w:t>
            </w:r>
          </w:p>
        </w:tc>
        <w:tc>
          <w:tcPr>
            <w:tcW w:type="dxa" w:w="2160"/>
          </w:tcPr>
          <w:p>
            <w:r/>
            <w:r>
              <w:t>±100원 변동</w:t>
            </w:r>
          </w:p>
        </w:tc>
        <w:tc>
          <w:tcPr>
            <w:tcW w:type="dxa" w:w="2160"/>
          </w:tcPr>
          <w:p>
            <w:r/>
            <w:r>
              <w:t>해외자산 평가손익 급변</w:t>
            </w:r>
          </w:p>
        </w:tc>
        <w:tc>
          <w:tcPr>
            <w:tcW w:type="dxa" w:w="2160"/>
          </w:tcPr>
          <w:p>
            <w:r/>
            <w:r>
              <w:t>H/UH 병행, 환율 고지</w:t>
            </w:r>
          </w:p>
        </w:tc>
      </w:tr>
    </w:tbl>
    <w:p/>
    <w:p>
      <w:pPr>
        <w:pStyle w:val="Heading2"/>
      </w:pPr>
      <w:r>
        <w:t>2. 자본시장과 자금 흐름</w:t>
      </w:r>
    </w:p>
    <w:p>
      <w:pPr>
        <w:pStyle w:val="Heading3"/>
      </w:pPr>
      <w:r>
        <w:t>1) 코스피 급락과 급반등</w:t>
      </w:r>
    </w:p>
    <w:p>
      <w:r>
        <w:t>지수의 방향보다 중요한 것은 자금 이동의 비가역성임. 코스피는 2023년 18%대 반등 후 2024년 약 -9.6%로 주요국 최하위권까지 밀렸고, 2025년 3,000선 회복 후 4,000선을 돌파하며 연간 60% 내외 상승함.</w:t>
      </w:r>
    </w:p>
    <w:p>
      <w:r>
        <w:t>2024년 부진기에 나간 개인 자금은 2025년 급반등 이후에도 돌아오지 않았음. 국내 회귀가 아니라 투자 파이 자체의 확대로 보는 것이 타당하며, 국내 자산만으로 구성한 라인업은 구조적으로 불리함.</w:t>
      </w:r>
    </w:p>
    <w:p>
      <w:pPr>
        <w:pStyle w:val="Heading3"/>
      </w:pPr>
      <w:r>
        <w:t>2) 밸류업 정책의 성과와 한계</w:t>
      </w:r>
    </w:p>
    <w:p>
      <w:r>
        <w:t>밸류업은 지수 방어에는 실패했으나 상품 소재는 남겼음. 2024년 2월 프로그램 발표, 9월 코리아 밸류업 지수 출시, 2025년 상법 개정 논의로 이어졌고 금융지주의 총주주환원율 50% 목표 제시가 대표적 성과임.</w:t>
      </w:r>
    </w:p>
    <w:p>
      <w:r>
        <w:t>초기 성과는 제한적이었음. 자율 공시의 한계와 지수 편입 기준 논란, 2024년 증시 부진이 겹치며 관련 상품은 자금을 모으지 못했음. 정책 테마 상품은 출시 시점에 청산·통합 기준을 함께 설계해야 함.</w:t>
      </w:r>
    </w:p>
    <w:p>
      <w:pPr>
        <w:pStyle w:val="Heading3"/>
      </w:pPr>
      <w:r>
        <w:t>3) 해외투자 확대와 환율 변수</w:t>
      </w:r>
    </w:p>
    <w:p>
      <w:r>
        <w:t>해외투자는 유행이 아니라 새 기준선임. 보관금액은 2022년 말 약 550억 달러에서 2023년 말 약 680억 달러, 2024년 말 약 1,120억 달러, 2025년 1,500억 달러 안팎(추정)으로 늘었음.</w:t>
      </w:r>
    </w:p>
    <w:p>
      <w:r>
        <w:t>문제는 구성임. 소수 성장주와 레버리지 ETF에 집중돼 국가·자산 분산이 아니라 종목 선택 무대의 확장에 가까움. 기회는 나간 자금을 분산 구조로 되돌리는 상품과 환리스크 관리 서비스에 있음.</w:t>
      </w:r>
    </w:p>
    <w:p>
      <w:pPr>
        <w:pStyle w:val="Heading2"/>
      </w:pPr>
      <w:r>
        <w:t>3. 정책·제도 환경</w:t>
      </w:r>
    </w:p>
    <w:p>
      <w:pPr>
        <w:pStyle w:val="Heading3"/>
      </w:pPr>
      <w:r>
        <w:t>1) 금융투자소득세 폐지</w:t>
      </w:r>
    </w:p>
    <w:p>
      <w:r>
        <w:t>2025년 시행 예정이던 금융투자소득세는 2024년 12월 여야 합의로 폐지가 확정됨. 2년간의 과세 불확실성이 제거되며 국내 주식형 상품 기획의 전제가 다시 명확해짐.</w:t>
      </w:r>
    </w:p>
    <w:p>
      <w:r>
        <w:t>시사점은 절세 소구가 상품이 아니라 계좌로 이동했다는 점임. 상품 자체의 세제 우위보다 어떤 계좌에 담기는가가 판매 논거가 됨.</w:t>
      </w:r>
    </w:p>
    <w:p>
      <w:pPr>
        <w:pStyle w:val="Heading3"/>
      </w:pPr>
      <w:r>
        <w:t>2) 예금자보호한도 1억원 상향</w:t>
      </w:r>
    </w:p>
    <w:p>
      <w:r>
        <w:t>예금자보호한도가 2025년 9월 1일부로 5,000만원에서 1억원으로 상향됨. 2001년 이후 24년 만의 조정이며, 분산 예치의 실익이 줄고 2금융권 수신의 심리적 진입장벽이 낮아짐.</w:t>
      </w:r>
    </w:p>
    <w:p>
      <w:r>
        <w:t>설계 논리는 "기관 분산"에서 "한 기관 내 상품 조합"으로 바뀌어야 함. 보호한도 내 예금과 투자·연금 계좌를 묶은 계층형 라인업이 잔고 방어에 유리함.</w:t>
      </w:r>
    </w:p>
    <w:p>
      <w:pPr>
        <w:pStyle w:val="Heading3"/>
      </w:pPr>
      <w:r>
        <w:t>3) ISA 세제 개편과 절세 수요</w:t>
      </w:r>
    </w:p>
    <w:p>
      <w:r>
        <w:t>ISA는 금투세 폐지 이후 남은 핵심 절세 계좌임. 2024년 납입한도 연 4,000만원 확대와 비과세 한도 상향이 추진되며 가입자는 500만명대로 늘었음.</w:t>
      </w:r>
    </w:p>
    <w:p>
      <w:r>
        <w:t>계좌를 확보하면 잔고 기반 수수료가 장기간 유지되므로 CAC 대비 LTV가 가장 유리한 획득 수단임. 다만 계좌만 열고 잔고가 유입되지 않으면 관리비용만 남으므로 잔고 유입률을 별도 KPI로 관리해야 함.</w:t>
      </w:r>
    </w:p>
    <w:p>
      <w:pPr>
        <w:pStyle w:val="Heading3"/>
      </w:pPr>
      <w:r>
        <w:t>4) IFRS17과 보험 손익 구조</w:t>
      </w:r>
    </w:p>
    <w:p>
      <w:r>
        <w:t>2023년 1월 IFRS17 도입으로 보험업의 손익 계산법이 교체됨. 보험부채를 시가로 평가하고 CSM을 이익의 원천으로 인식하는 체계이며, CSM은 보장성에서 크게 적립되고 저축성에서는 거의 발생하지 않음.</w:t>
      </w:r>
    </w:p>
    <w:p>
      <w:r>
        <w:t>따라서 저축성에서 보장성으로의 전환은 회계가 강제한 필연이었음. 보험 계열의 상품 심사 지표도 신계약 규모가 아니라 CSM 기여도·신계약가치·유지율의 조합으로 정렬돼야 함.</w:t>
      </w:r>
    </w:p>
    <w:p>
      <w:pPr>
        <w:pStyle w:val="Heading3"/>
      </w:pPr>
      <w:r>
        <w:t>5) 디폴트옵션과 퇴직연금 실물이전</w:t>
      </w:r>
    </w:p>
    <w:p>
      <w:r>
        <w:t>연금 시장의 이동 장벽을 낮춘 두 개의 스위치임. 디폴트옵션은 2023년 7월 시행됐으나 초기 지정 상품의 80~90%대가 원리금보장형에 쏠렸고, 실물이전은 2024년 10월 31일 시행되며 매도 없이 사업자를 옮길 수 있게 돼 증권사 이동 우위가 나타남.</w:t>
      </w:r>
    </w:p>
    <w:p>
      <w:r>
        <w:t>교훈은 기본값 설계가 자금 흐름을 좌우한다는 점임. 선택지를 주는 것과 좋은 결과가 나오는 것은 다르며, 디폴트 상품 구성 자체가 장기 수익률과 잔고를 결정함.</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r>
            <w:r>
              <w:rPr>
                <w:b/>
              </w:rPr>
              <w:t>구분</w:t>
            </w:r>
          </w:p>
        </w:tc>
        <w:tc>
          <w:tcPr>
            <w:tcW w:type="dxa" w:w="2160"/>
          </w:tcPr>
          <w:p>
            <w:r>
              <w:rPr>
                <w:b/>
              </w:rPr>
            </w:r>
            <w:r>
              <w:rPr>
                <w:b/>
              </w:rPr>
              <w:t>주요 변화</w:t>
            </w:r>
          </w:p>
        </w:tc>
        <w:tc>
          <w:tcPr>
            <w:tcW w:type="dxa" w:w="2160"/>
          </w:tcPr>
          <w:p>
            <w:r>
              <w:rPr>
                <w:b/>
              </w:rPr>
            </w:r>
            <w:r>
              <w:rPr>
                <w:b/>
              </w:rPr>
              <w:t>시장 영향</w:t>
            </w:r>
          </w:p>
        </w:tc>
        <w:tc>
          <w:tcPr>
            <w:tcW w:type="dxa" w:w="2160"/>
          </w:tcPr>
          <w:p>
            <w:r>
              <w:rPr>
                <w:b/>
              </w:rPr>
            </w:r>
            <w:r>
              <w:rPr>
                <w:b/>
              </w:rPr>
              <w:t>우리 회사 대응</w:t>
            </w:r>
          </w:p>
        </w:tc>
      </w:tr>
      <w:tr>
        <w:tc>
          <w:tcPr>
            <w:tcW w:type="dxa" w:w="2160"/>
          </w:tcPr>
          <w:p>
            <w:r/>
            <w:r>
              <w:t>정책(P)</w:t>
            </w:r>
          </w:p>
        </w:tc>
        <w:tc>
          <w:tcPr>
            <w:tcW w:type="dxa" w:w="2160"/>
          </w:tcPr>
          <w:p>
            <w:r/>
            <w:r>
              <w:t>금투세 폐지(2024.12), 보호한도 1억원(2025.9), ISA 개편</w:t>
            </w:r>
          </w:p>
        </w:tc>
        <w:tc>
          <w:tcPr>
            <w:tcW w:type="dxa" w:w="2160"/>
          </w:tcPr>
          <w:p>
            <w:r/>
            <w:r>
              <w:t>세제는 완화, 판매 규율은 강화</w:t>
            </w:r>
          </w:p>
        </w:tc>
        <w:tc>
          <w:tcPr>
            <w:tcW w:type="dxa" w:w="2160"/>
          </w:tcPr>
          <w:p>
            <w:r/>
            <w:r>
              <w:t>계좌 중심 설계, 규제 선반영</w:t>
            </w:r>
          </w:p>
        </w:tc>
      </w:tr>
      <w:tr>
        <w:tc>
          <w:tcPr>
            <w:tcW w:type="dxa" w:w="2160"/>
          </w:tcPr>
          <w:p>
            <w:r/>
            <w:r>
              <w:t>경제(E)</w:t>
            </w:r>
          </w:p>
        </w:tc>
        <w:tc>
          <w:tcPr>
            <w:tcW w:type="dxa" w:w="2160"/>
          </w:tcPr>
          <w:p>
            <w:r/>
            <w:r>
              <w:t>기준금리 3.50%→2.50% 내외, 환율 1,350~1,470원</w:t>
            </w:r>
          </w:p>
        </w:tc>
        <w:tc>
          <w:tcPr>
            <w:tcW w:type="dxa" w:w="2160"/>
          </w:tcPr>
          <w:p>
            <w:r/>
            <w:r>
              <w:t>예대마진 축소, 인컴 수요 급증</w:t>
            </w:r>
          </w:p>
        </w:tc>
        <w:tc>
          <w:tcPr>
            <w:tcW w:type="dxa" w:w="2160"/>
          </w:tcPr>
          <w:p>
            <w:r/>
            <w:r>
              <w:t>잔고 수수료 전환, H/UH 병행</w:t>
            </w:r>
          </w:p>
        </w:tc>
      </w:tr>
      <w:tr>
        <w:tc>
          <w:tcPr>
            <w:tcW w:type="dxa" w:w="2160"/>
          </w:tcPr>
          <w:p>
            <w:r/>
            <w:r>
              <w:t>사회(S)</w:t>
            </w:r>
          </w:p>
        </w:tc>
        <w:tc>
          <w:tcPr>
            <w:tcW w:type="dxa" w:w="2160"/>
          </w:tcPr>
          <w:p>
            <w:r/>
            <w:r>
              <w:t>2025년 초고령사회 진입, 축적형·인출형 이분화</w:t>
            </w:r>
          </w:p>
        </w:tc>
        <w:tc>
          <w:tcPr>
            <w:tcW w:type="dxa" w:w="2160"/>
          </w:tcPr>
          <w:p>
            <w:r/>
            <w:r>
              <w:t>인출·간병·상속 수요 확대</w:t>
            </w:r>
          </w:p>
        </w:tc>
        <w:tc>
          <w:tcPr>
            <w:tcW w:type="dxa" w:w="2160"/>
          </w:tcPr>
          <w:p>
            <w:r/>
            <w:r>
              <w:t>생애 후반 솔루션 선점</w:t>
            </w:r>
          </w:p>
        </w:tc>
      </w:tr>
      <w:tr>
        <w:tc>
          <w:tcPr>
            <w:tcW w:type="dxa" w:w="2160"/>
          </w:tcPr>
          <w:p>
            <w:r/>
            <w:r>
              <w:t>기술(T)</w:t>
            </w:r>
          </w:p>
        </w:tc>
        <w:tc>
          <w:tcPr>
            <w:tcW w:type="dxa" w:w="2160"/>
          </w:tcPr>
          <w:p>
            <w:r/>
            <w:r>
              <w:t>마이데이터, 생성형 AI 상담, RA 연금 일임(2025)</w:t>
            </w:r>
          </w:p>
        </w:tc>
        <w:tc>
          <w:tcPr>
            <w:tcW w:type="dxa" w:w="2160"/>
          </w:tcPr>
          <w:p>
            <w:r/>
            <w:r>
              <w:t>자문 한계비용 하락</w:t>
            </w:r>
          </w:p>
        </w:tc>
        <w:tc>
          <w:tcPr>
            <w:tcW w:type="dxa" w:w="2160"/>
          </w:tcPr>
          <w:p>
            <w:r/>
            <w:r>
              <w:t>자문·일임 확보, 설명책임 체계</w:t>
            </w:r>
          </w:p>
        </w:tc>
      </w:tr>
    </w:tbl>
    <w:p/>
    <w:p>
      <w:pPr>
        <w:pStyle w:val="Heading2"/>
      </w:pPr>
      <w:r>
        <w:t>4. 시장 구조를 바꾼 사건</w:t>
      </w:r>
    </w:p>
    <w:p>
      <w:pPr>
        <w:pStyle w:val="Heading3"/>
      </w:pPr>
      <w:r>
        <w:t>1) 홍콩 H지수 ELS 손실 사태</w:t>
      </w:r>
    </w:p>
    <w:p>
      <w:r>
        <w:t>2024년 상반기 손실 확정으로 은행권 배상 규모가 1조원대에 이르렀고, 당국이 분쟁조정 기준을 마련한 이후 고난도 상품·신탁 판매가 큰 폭으로 위축됨.</w:t>
      </w:r>
    </w:p>
    <w:p>
      <w:r>
        <w:t>손익 관점의 계산은 단순함. 배상 1조원대는 직접 비용이고 판매 채널이 닫히며 잃은 수수료는 그보다 큼. 판매 절차의 신뢰성이 곧 취급 가능한 상품군의 범위임.</w:t>
      </w:r>
    </w:p>
    <w:p>
      <w:pPr>
        <w:pStyle w:val="Heading3"/>
      </w:pPr>
      <w:r>
        <w:t>2) 부동산 PF 부실 정리</w:t>
      </w:r>
    </w:p>
    <w:p>
      <w:r>
        <w:t>2023~2024년 사업성 평가 기준 강화로 충당금 부담이 확산되며 증권사 IB와 2금융권이 타격을 받았고 2025년 완화됨. 정리 여력이 있는 대형사와 그렇지 못한 중소형사의 회복 속도가 갈리며 실적 격차가 고착됨.</w:t>
      </w:r>
    </w:p>
    <w:p>
      <w:r>
        <w:t>원칙은 신상품 재원과 본업 건전성의 분리임. 고위험 익스포저가 자본을 잠식하면 상품 투자 재원 자체가 사라짐.</w:t>
      </w:r>
    </w:p>
    <w:p>
      <w:pPr>
        <w:pStyle w:val="Heading3"/>
      </w:pPr>
      <w:r>
        <w:t>3) 인터넷은행 흑자 전환</w:t>
      </w:r>
    </w:p>
    <w:p>
      <w:r>
        <w:t>카카오뱅크는 고객 2,400만명 이상을 확보했고 토스뱅크는 2024년 첫 연간 흑자를 기록했으며 케이뱅크는 IPO 철회 후 재추진에 나섬. 점포 없는 채널만으로 수익이 성립한다는 증명임.</w:t>
      </w:r>
    </w:p>
    <w:p>
      <w:r>
        <w:t>감수할 현실은 기준선 자체가 올라갔다는 점임. 대면 채널의 비용 구조로 동일 금리·동일 UX를 제공할 수 없으므로 설명 품질과 복합 설계로 차별화해야 함.</w:t>
      </w:r>
    </w:p>
    <w:p>
      <w:pPr>
        <w:pStyle w:val="Heading3"/>
      </w:pPr>
      <w:r>
        <w:t>4) 가상자산 제도권 편입</w:t>
      </w:r>
    </w:p>
    <w:p>
      <w:r>
        <w:t>가상자산이용자보호법이 2024년 7월 시행되며 예치금 보호와 불공정거래 규율의 골격이 마련됨. 비트코인은 2024년 3월 원화 1억원, 12월 10만 달러를 돌파했고 금도 사상 최고 수준을 경신함.</w:t>
      </w:r>
    </w:p>
    <w:p>
      <w:r>
        <w:t>판단은 직접 상품화가 아니라 편입 경로 제공임. 규제 경계와 소비자 이해도가 동시에 작동하므로 ETF·신탁 등 제도권 래퍼를 통한 소수 비중 편입이 현실적임.</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r>
            <w:r>
              <w:rPr>
                <w:b/>
              </w:rPr>
              <w:t>시점</w:t>
            </w:r>
          </w:p>
        </w:tc>
        <w:tc>
          <w:tcPr>
            <w:tcW w:type="dxa" w:w="2160"/>
          </w:tcPr>
          <w:p>
            <w:r>
              <w:rPr>
                <w:b/>
              </w:rPr>
            </w:r>
            <w:r>
              <w:rPr>
                <w:b/>
              </w:rPr>
              <w:t>사건</w:t>
            </w:r>
          </w:p>
        </w:tc>
        <w:tc>
          <w:tcPr>
            <w:tcW w:type="dxa" w:w="2160"/>
          </w:tcPr>
          <w:p>
            <w:r>
              <w:rPr>
                <w:b/>
              </w:rPr>
            </w:r>
            <w:r>
              <w:rPr>
                <w:b/>
              </w:rPr>
              <w:t>직접 비용·영향</w:t>
            </w:r>
          </w:p>
        </w:tc>
        <w:tc>
          <w:tcPr>
            <w:tcW w:type="dxa" w:w="2160"/>
          </w:tcPr>
          <w:p>
            <w:r>
              <w:rPr>
                <w:b/>
              </w:rPr>
            </w:r>
            <w:r>
              <w:rPr>
                <w:b/>
              </w:rPr>
              <w:t>상품기획 제약</w:t>
            </w:r>
          </w:p>
        </w:tc>
      </w:tr>
      <w:tr>
        <w:tc>
          <w:tcPr>
            <w:tcW w:type="dxa" w:w="2160"/>
          </w:tcPr>
          <w:p>
            <w:r/>
            <w:r>
              <w:t>2024 상반기</w:t>
            </w:r>
          </w:p>
        </w:tc>
        <w:tc>
          <w:tcPr>
            <w:tcW w:type="dxa" w:w="2160"/>
          </w:tcPr>
          <w:p>
            <w:r/>
            <w:r>
              <w:t>홍콩 H지수 ELS 손실 확정</w:t>
            </w:r>
          </w:p>
        </w:tc>
        <w:tc>
          <w:tcPr>
            <w:tcW w:type="dxa" w:w="2160"/>
          </w:tcPr>
          <w:p>
            <w:r/>
            <w:r>
              <w:t>은행권 배상 1조원대</w:t>
            </w:r>
          </w:p>
        </w:tc>
        <w:tc>
          <w:tcPr>
            <w:tcW w:type="dxa" w:w="2160"/>
          </w:tcPr>
          <w:p>
            <w:r/>
            <w:r>
              <w:t>고난도 상품 창구 판매 봉인</w:t>
            </w:r>
          </w:p>
        </w:tc>
      </w:tr>
      <w:tr>
        <w:tc>
          <w:tcPr>
            <w:tcW w:type="dxa" w:w="2160"/>
          </w:tcPr>
          <w:p>
            <w:r/>
            <w:r>
              <w:t>2023~2024</w:t>
            </w:r>
          </w:p>
        </w:tc>
        <w:tc>
          <w:tcPr>
            <w:tcW w:type="dxa" w:w="2160"/>
          </w:tcPr>
          <w:p>
            <w:r/>
            <w:r>
              <w:t>부동산 PF 부실 정리</w:t>
            </w:r>
          </w:p>
        </w:tc>
        <w:tc>
          <w:tcPr>
            <w:tcW w:type="dxa" w:w="2160"/>
          </w:tcPr>
          <w:p>
            <w:r/>
            <w:r>
              <w:t>증권·2금융권 충당금 부담</w:t>
            </w:r>
          </w:p>
        </w:tc>
        <w:tc>
          <w:tcPr>
            <w:tcW w:type="dxa" w:w="2160"/>
          </w:tcPr>
          <w:p>
            <w:r/>
            <w:r>
              <w:t>상품 투자 재원 축소</w:t>
            </w:r>
          </w:p>
        </w:tc>
      </w:tr>
      <w:tr>
        <w:tc>
          <w:tcPr>
            <w:tcW w:type="dxa" w:w="2160"/>
          </w:tcPr>
          <w:p>
            <w:r/>
            <w:r>
              <w:t>2024.7</w:t>
            </w:r>
          </w:p>
        </w:tc>
        <w:tc>
          <w:tcPr>
            <w:tcW w:type="dxa" w:w="2160"/>
          </w:tcPr>
          <w:p>
            <w:r/>
            <w:r>
              <w:t>티몬·위메프 정산 사태</w:t>
            </w:r>
          </w:p>
        </w:tc>
        <w:tc>
          <w:tcPr>
            <w:tcW w:type="dxa" w:w="2160"/>
          </w:tcPr>
          <w:p>
            <w:r/>
            <w:r>
              <w:t>미정산 약 1.3조원</w:t>
            </w:r>
          </w:p>
        </w:tc>
        <w:tc>
          <w:tcPr>
            <w:tcW w:type="dxa" w:w="2160"/>
          </w:tcPr>
          <w:p>
            <w:r/>
            <w:r>
              <w:t>제휴형 상품 정산 검토 의무화</w:t>
            </w:r>
          </w:p>
        </w:tc>
      </w:tr>
      <w:tr>
        <w:tc>
          <w:tcPr>
            <w:tcW w:type="dxa" w:w="2160"/>
          </w:tcPr>
          <w:p>
            <w:r/>
            <w:r>
              <w:t>2024</w:t>
            </w:r>
          </w:p>
        </w:tc>
        <w:tc>
          <w:tcPr>
            <w:tcW w:type="dxa" w:w="2160"/>
          </w:tcPr>
          <w:p>
            <w:r/>
            <w:r>
              <w:t>인터넷은행 흑자 정착</w:t>
            </w:r>
          </w:p>
        </w:tc>
        <w:tc>
          <w:tcPr>
            <w:tcW w:type="dxa" w:w="2160"/>
          </w:tcPr>
          <w:p>
            <w:r/>
            <w:r>
              <w:t>토스뱅크 첫 연간 흑자</w:t>
            </w:r>
          </w:p>
        </w:tc>
        <w:tc>
          <w:tcPr>
            <w:tcW w:type="dxa" w:w="2160"/>
          </w:tcPr>
          <w:p>
            <w:r/>
            <w:r>
              <w:t>금리·UX 기준선 상승</w:t>
            </w:r>
          </w:p>
        </w:tc>
      </w:tr>
      <w:tr>
        <w:tc>
          <w:tcPr>
            <w:tcW w:type="dxa" w:w="2160"/>
          </w:tcPr>
          <w:p>
            <w:r/>
            <w:r>
              <w:t>2024.7</w:t>
            </w:r>
          </w:p>
        </w:tc>
        <w:tc>
          <w:tcPr>
            <w:tcW w:type="dxa" w:w="2160"/>
          </w:tcPr>
          <w:p>
            <w:r/>
            <w:r>
              <w:t>가상자산이용자보호법 시행</w:t>
            </w:r>
          </w:p>
        </w:tc>
        <w:tc>
          <w:tcPr>
            <w:tcW w:type="dxa" w:w="2160"/>
          </w:tcPr>
          <w:p>
            <w:r/>
            <w:r>
              <w:t>예치금 보호·불공정거래 규율</w:t>
            </w:r>
          </w:p>
        </w:tc>
        <w:tc>
          <w:tcPr>
            <w:tcW w:type="dxa" w:w="2160"/>
          </w:tcPr>
          <w:p>
            <w:r/>
            <w:r>
              <w:t>대체자산은 래퍼 경유로 한정</w:t>
            </w:r>
          </w:p>
        </w:tc>
      </w:tr>
    </w:tbl>
    <w:p/>
    <w:p>
      <w:pPr>
        <w:pStyle w:val="Heading1"/>
      </w:pPr>
      <w:r>
        <w:t>Ⅲ. 업권별 전략 분석: 은행·증권·보험·핀테크</w:t>
      </w:r>
    </w:p>
    <w:p>
      <w:pPr>
        <w:pStyle w:val="Heading2"/>
      </w:pPr>
      <w:r>
        <w:t>1. 은행</w:t>
      </w:r>
    </w:p>
    <w:p>
      <w:pPr>
        <w:pStyle w:val="Heading3"/>
      </w:pPr>
      <w:r>
        <w:t>1) 이자이익 의존 구조와 한계</w:t>
      </w:r>
    </w:p>
    <w:p>
      <w:r>
        <w:t>이익의 크기가 아니라 이익의 질이 문제임. 합산 순이익이 사상 최대를 경신하는 동안에도 이자이익 비중은 총이익의 80% 내외로 유지됐고, 이익 증가는 대출 자산 성장·비용 효율화·PF 충당금 완화가 상당 부분을 설명함.</w:t>
      </w:r>
    </w:p>
    <w:p>
      <w:r>
        <w:t>즉 구조 개선이 아니라 주기성 요인임. 이자이익 비중을 낮추지 못하면 다음 금리 사이클에서 손익이 그대로 노출되므로 비이자수익 비중을 관리 목표로 명시해야 함.</w:t>
      </w:r>
    </w:p>
    <w:p>
      <w:pPr>
        <w:pStyle w:val="Heading3"/>
      </w:pPr>
      <w:r>
        <w:t>2) 비이자수익 확대 전략</w:t>
      </w:r>
    </w:p>
    <w:p>
      <w:r>
        <w:t>주력 수단이 봉인된 상태에서 대체 경로를 선택해야 함. ELS·신탁 위축 이후 퇴직연금·ISA 잔고 수수료, 방카슈랑스·카드 연계, 외환 수수료가 대안이나 단위 마진이 얇아 단기 대체가 어려움.</w:t>
      </w:r>
    </w:p>
    <w:p>
      <w:r>
        <w:t>판단은 고마진 복원이 아니라 마진 구조 교체임. 판매 시점 수수료를 포기하는 대신 유지 기간 수익을 확보하는 방향이 대환·이전 경쟁 환경에 부합함.</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r>
            <w:r>
              <w:rPr>
                <w:b/>
              </w:rPr>
              <w:t>대안</w:t>
            </w:r>
          </w:p>
        </w:tc>
        <w:tc>
          <w:tcPr>
            <w:tcW w:type="dxa" w:w="1728"/>
          </w:tcPr>
          <w:p>
            <w:r>
              <w:rPr>
                <w:b/>
              </w:rPr>
            </w:r>
            <w:r>
              <w:rPr>
                <w:b/>
              </w:rPr>
              <w:t>수익 성격</w:t>
            </w:r>
          </w:p>
        </w:tc>
        <w:tc>
          <w:tcPr>
            <w:tcW w:type="dxa" w:w="1728"/>
          </w:tcPr>
          <w:p>
            <w:r>
              <w:rPr>
                <w:b/>
              </w:rPr>
            </w:r>
            <w:r>
              <w:rPr>
                <w:b/>
              </w:rPr>
              <w:t>기대 마진</w:t>
            </w:r>
          </w:p>
        </w:tc>
        <w:tc>
          <w:tcPr>
            <w:tcW w:type="dxa" w:w="1728"/>
          </w:tcPr>
          <w:p>
            <w:r>
              <w:rPr>
                <w:b/>
              </w:rPr>
            </w:r>
            <w:r>
              <w:rPr>
                <w:b/>
              </w:rPr>
              <w:t>판매·규제 리스크</w:t>
            </w:r>
          </w:p>
        </w:tc>
        <w:tc>
          <w:tcPr>
            <w:tcW w:type="dxa" w:w="1728"/>
          </w:tcPr>
          <w:p>
            <w:r>
              <w:rPr>
                <w:b/>
              </w:rPr>
            </w:r>
            <w:r>
              <w:rPr>
                <w:b/>
              </w:rPr>
              <w:t>우선순위</w:t>
            </w:r>
          </w:p>
        </w:tc>
      </w:tr>
      <w:tr>
        <w:tc>
          <w:tcPr>
            <w:tcW w:type="dxa" w:w="1728"/>
          </w:tcPr>
          <w:p>
            <w:r/>
            <w:r>
              <w:t>퇴직연금·ISA 잔고 수수료</w:t>
            </w:r>
          </w:p>
        </w:tc>
        <w:tc>
          <w:tcPr>
            <w:tcW w:type="dxa" w:w="1728"/>
          </w:tcPr>
          <w:p>
            <w:r/>
            <w:r>
              <w:t>잔고 비례 반복</w:t>
            </w:r>
          </w:p>
        </w:tc>
        <w:tc>
          <w:tcPr>
            <w:tcW w:type="dxa" w:w="1728"/>
          </w:tcPr>
          <w:p>
            <w:r/>
            <w:r>
              <w:t>낮음, 장기 누적</w:t>
            </w:r>
          </w:p>
        </w:tc>
        <w:tc>
          <w:tcPr>
            <w:tcW w:type="dxa" w:w="1728"/>
          </w:tcPr>
          <w:p>
            <w:r/>
            <w:r>
              <w:t>낮음</w:t>
            </w:r>
          </w:p>
        </w:tc>
        <w:tc>
          <w:tcPr>
            <w:tcW w:type="dxa" w:w="1728"/>
          </w:tcPr>
          <w:p>
            <w:r/>
            <w:r>
              <w:t>1순위</w:t>
            </w:r>
          </w:p>
        </w:tc>
      </w:tr>
      <w:tr>
        <w:tc>
          <w:tcPr>
            <w:tcW w:type="dxa" w:w="1728"/>
          </w:tcPr>
          <w:p>
            <w:r/>
            <w:r>
              <w:t>자문·일임 보수</w:t>
            </w:r>
          </w:p>
        </w:tc>
        <w:tc>
          <w:tcPr>
            <w:tcW w:type="dxa" w:w="1728"/>
          </w:tcPr>
          <w:p>
            <w:r/>
            <w:r>
              <w:t>잔고 비례 반복</w:t>
            </w:r>
          </w:p>
        </w:tc>
        <w:tc>
          <w:tcPr>
            <w:tcW w:type="dxa" w:w="1728"/>
          </w:tcPr>
          <w:p>
            <w:r/>
            <w:r>
              <w:t>중간</w:t>
            </w:r>
          </w:p>
        </w:tc>
        <w:tc>
          <w:tcPr>
            <w:tcW w:type="dxa" w:w="1728"/>
          </w:tcPr>
          <w:p>
            <w:r/>
            <w:r>
              <w:t>중간(설명책임)</w:t>
            </w:r>
          </w:p>
        </w:tc>
        <w:tc>
          <w:tcPr>
            <w:tcW w:type="dxa" w:w="1728"/>
          </w:tcPr>
          <w:p>
            <w:r/>
            <w:r>
              <w:t>2순위</w:t>
            </w:r>
          </w:p>
        </w:tc>
      </w:tr>
      <w:tr>
        <w:tc>
          <w:tcPr>
            <w:tcW w:type="dxa" w:w="1728"/>
          </w:tcPr>
          <w:p>
            <w:r/>
            <w:r>
              <w:t>방카슈랑스·계열 연계</w:t>
            </w:r>
          </w:p>
        </w:tc>
        <w:tc>
          <w:tcPr>
            <w:tcW w:type="dxa" w:w="1728"/>
          </w:tcPr>
          <w:p>
            <w:r/>
            <w:r>
              <w:t>판매 시점+유지</w:t>
            </w:r>
          </w:p>
        </w:tc>
        <w:tc>
          <w:tcPr>
            <w:tcW w:type="dxa" w:w="1728"/>
          </w:tcPr>
          <w:p>
            <w:r/>
            <w:r>
              <w:t>중간</w:t>
            </w:r>
          </w:p>
        </w:tc>
        <w:tc>
          <w:tcPr>
            <w:tcW w:type="dxa" w:w="1728"/>
          </w:tcPr>
          <w:p>
            <w:r/>
            <w:r>
              <w:t>중간(적합성 규율)</w:t>
            </w:r>
          </w:p>
        </w:tc>
        <w:tc>
          <w:tcPr>
            <w:tcW w:type="dxa" w:w="1728"/>
          </w:tcPr>
          <w:p>
            <w:r/>
            <w:r>
              <w:t>3순위</w:t>
            </w:r>
          </w:p>
        </w:tc>
      </w:tr>
      <w:tr>
        <w:tc>
          <w:tcPr>
            <w:tcW w:type="dxa" w:w="1728"/>
          </w:tcPr>
          <w:p>
            <w:r/>
            <w:r>
              <w:t>외환·해외자산 수수료</w:t>
            </w:r>
          </w:p>
        </w:tc>
        <w:tc>
          <w:tcPr>
            <w:tcW w:type="dxa" w:w="1728"/>
          </w:tcPr>
          <w:p>
            <w:r/>
            <w:r>
              <w:t>거래 비례</w:t>
            </w:r>
          </w:p>
        </w:tc>
        <w:tc>
          <w:tcPr>
            <w:tcW w:type="dxa" w:w="1728"/>
          </w:tcPr>
          <w:p>
            <w:r/>
            <w:r>
              <w:t>중간</w:t>
            </w:r>
          </w:p>
        </w:tc>
        <w:tc>
          <w:tcPr>
            <w:tcW w:type="dxa" w:w="1728"/>
          </w:tcPr>
          <w:p>
            <w:r/>
            <w:r>
              <w:t>중간(환율 설명)</w:t>
            </w:r>
          </w:p>
        </w:tc>
        <w:tc>
          <w:tcPr>
            <w:tcW w:type="dxa" w:w="1728"/>
          </w:tcPr>
          <w:p>
            <w:r/>
            <w:r>
              <w:t>3순위</w:t>
            </w:r>
          </w:p>
        </w:tc>
      </w:tr>
      <w:tr>
        <w:tc>
          <w:tcPr>
            <w:tcW w:type="dxa" w:w="1728"/>
          </w:tcPr>
          <w:p>
            <w:r/>
            <w:r>
              <w:t>고난도 구조화 상품</w:t>
            </w:r>
          </w:p>
        </w:tc>
        <w:tc>
          <w:tcPr>
            <w:tcW w:type="dxa" w:w="1728"/>
          </w:tcPr>
          <w:p>
            <w:r/>
            <w:r>
              <w:t>판매 시점</w:t>
            </w:r>
          </w:p>
        </w:tc>
        <w:tc>
          <w:tcPr>
            <w:tcW w:type="dxa" w:w="1728"/>
          </w:tcPr>
          <w:p>
            <w:r/>
            <w:r>
              <w:t>높음</w:t>
            </w:r>
          </w:p>
        </w:tc>
        <w:tc>
          <w:tcPr>
            <w:tcW w:type="dxa" w:w="1728"/>
          </w:tcPr>
          <w:p>
            <w:r/>
            <w:r>
              <w:t>매우 높음(분쟁·배상)</w:t>
            </w:r>
          </w:p>
        </w:tc>
        <w:tc>
          <w:tcPr>
            <w:tcW w:type="dxa" w:w="1728"/>
          </w:tcPr>
          <w:p>
            <w:r/>
            <w:r>
              <w:t>보류</w:t>
            </w:r>
          </w:p>
        </w:tc>
      </w:tr>
    </w:tbl>
    <w:p/>
    <w:p>
      <w:pPr>
        <w:pStyle w:val="Heading3"/>
      </w:pPr>
      <w:r>
        <w:t>3) 밸류업과 주주환원 확대</w:t>
      </w:r>
    </w:p>
    <w:p>
      <w:r>
        <w:t>주주환원 정책은 IR 활동이 아니라 상품 전략의 제약 조건임. 주요 지주가 총주주환원율 50% 목표와 CET1 13% 이상 관리를 공표하면서 자본을 많이 쓰는 자산 증대가 환영받지 못하게 됨.</w:t>
      </w:r>
    </w:p>
    <w:p>
      <w:r>
        <w:t>상품 심사 기준에도 자본 소요를 명시적으로 반영해야 함. 동일한 손익 기여라면 위험가중자산을 덜 쓰는 상품이 우선임.</w:t>
      </w:r>
    </w:p>
    <w:p>
      <w:pPr>
        <w:pStyle w:val="Heading3"/>
      </w:pPr>
      <w:r>
        <w:t>4) 인터넷은행과의 경쟁 구도</w:t>
      </w:r>
    </w:p>
    <w:p>
      <w:r>
        <w:t>경쟁 축이 금리에서 경험과 관계로 이동함. 대환대출로 금리 비교가 실시간화되면서 금리만으로는 잔고를 지킬 수 없게 됐고, 인터넷은행은 모임통장·매일 이자 지급 같은 경험 설계로 성과를 냄.</w:t>
      </w:r>
    </w:p>
    <w:p>
      <w:r>
        <w:t>조달비용 구조상 금리 정면 대결은 손익에 불리함. 방어선은 급여·연금 이체와 대출·카드·보험 묶음 같은 관계 기반 록인이며, 고객당 상품 수를 늘리는 편이 금리 인상보다 저렴함.</w:t>
      </w:r>
    </w:p>
    <w:p>
      <w:pPr>
        <w:pStyle w:val="Heading2"/>
      </w:pPr>
      <w:r>
        <w:t>2. 증권</w:t>
      </w:r>
    </w:p>
    <w:p>
      <w:pPr>
        <w:pStyle w:val="Heading3"/>
      </w:pPr>
      <w:r>
        <w:t>1) 해외주식 수수료의 실적 기여</w:t>
      </w:r>
    </w:p>
    <w:p>
      <w:r>
        <w:t>해외주식은 국내 증시 부진기의 실적 방어선이었음. 경쟁의 초점은 수수료율에서 거래 인프라로 이동해 소수점 거래, 24시간 거래, 실시간 환전, 통합증거금이 계좌 유치의 승부처가 됨.</w:t>
      </w:r>
    </w:p>
    <w:p>
      <w:r>
        <w:t>이들 기능은 그 자체로 수익이 거의 없음. 계좌를 옮길 이유를 없애고 잔고를 붙잡는 장치로 보고 획득 채널 KPI를 별도 설정해야 함.</w:t>
      </w:r>
    </w:p>
    <w:p>
      <w:pPr>
        <w:pStyle w:val="Heading3"/>
      </w:pPr>
      <w:r>
        <w:t>2) ETF·연금으로의 수익원 이동</w:t>
      </w:r>
    </w:p>
    <w:p>
      <w:r>
        <w:t>ETF는 수익원이 아니라 관문 상품이 됨. 총보수 인하 경쟁으로 0.01%대 상품까지 등장하며 상품 자체의 차별화가 불가능해졌고, 승부는 라인업 폭과 유통망, 어떤 계좌에 담기는가로 옮겨감.</w:t>
      </w:r>
    </w:p>
    <w:p>
      <w:r>
        <w:t>ETF 단품 경쟁은 실익이 없음. 연금·ISA 계좌와 묶어 잔고를 확보하고 목적 기반(만기매칭·타깃 인컴) 상품으로 차별화하는 편이 유리함.</w:t>
      </w:r>
    </w:p>
    <w:p>
      <w:pPr>
        <w:pStyle w:val="Heading3"/>
      </w:pPr>
      <w:r>
        <w:t>3) 채권 개인 판매 확대</w:t>
      </w:r>
    </w:p>
    <w:p>
      <w:r>
        <w:t>리테일 채권은 가장 조용하면서 강력한 성장 상품이었음. 금리 인하 기대로 개인 순매수가 2023~2024년 연 30~40조원대에 달했고 전 증권사로 표준화됨.</w:t>
      </w:r>
    </w:p>
    <w:p>
      <w:r>
        <w:t>성공 요인은 금융공학이 아니라 접근성임. 소액 판매와 온라인 인터페이스가 정비되자 기관 상품이 소매로 내려왔으며, 이 공식은 만기매칭형 채권과 인출형 상품에도 이식할 수 있음.</w:t>
      </w:r>
    </w:p>
    <w:p>
      <w:pPr>
        <w:pStyle w:val="Heading3"/>
      </w:pPr>
      <w:r>
        <w:t>4) IB·PF 리스크 관리</w:t>
      </w:r>
    </w:p>
    <w:p>
      <w:r>
        <w:t>증권 계열의 손익 변동성은 상품이 아니라 익스포저에서 발생함. PF 정리는 2023~2024년 실적을 훼손했고, CFD 사고 이후 레버리지 신용공여 관리와 랩·신탁 운용 점검이 강화됨.</w:t>
      </w:r>
    </w:p>
    <w:p>
      <w:r>
        <w:t>리테일 전략이 정교해도 IB 손실이 자본을 잠식하면 투자 재원이 사라짐. 리테일 성장 목표와 IB 익스포저 한도를 동일 위원회에서 함께 심의해야 함.</w:t>
      </w:r>
    </w:p>
    <w:p>
      <w:pPr>
        <w:pStyle w:val="Heading2"/>
      </w:pPr>
      <w:r>
        <w:t>3. 생명보험</w:t>
      </w:r>
    </w:p>
    <w:p>
      <w:pPr>
        <w:pStyle w:val="Heading3"/>
      </w:pPr>
      <w:r>
        <w:t>1) IFRS17과 CSM 중심 경영</w:t>
      </w:r>
    </w:p>
    <w:p>
      <w:r>
        <w:t>생보업의 3년은 회계가 상품을 다시 쓴 3년임. 손익 인식이 CSM 중심으로 전환되며 수입보험료는 크지만 마진이 얇은 저축성의 회계상 매력이 급감했고, 상품 우선순위가 보험료 규모에서 CSM 기여도로 바뀜.</w:t>
      </w:r>
    </w:p>
    <w:p>
      <w:r>
        <w:t>상품 심사에서 CSM 기여도·신계약가치·유지율이 동시에 개선되지 않는 상품은 승인 대상이 아님.</w:t>
      </w:r>
    </w:p>
    <w:p>
      <w:pPr>
        <w:pStyle w:val="Heading3"/>
      </w:pPr>
      <w:r>
        <w:t>2) 보장성 전환과 단기납 종신 경쟁</w:t>
      </w:r>
    </w:p>
    <w:p>
      <w:r>
        <w:t>전환의 방식이 문제였음. 2023~2024년 단기납 종신보험에서 10년 시점 환급률을 130%대까지 끌어올리는 경쟁이 벌어지며 보장성이 사실상 저축성처럼 판매됐고, 당국은 환급률 상한과 해지율 가정 규제로 제동을 걸었음.</w:t>
      </w:r>
    </w:p>
    <w:p>
      <w:r>
        <w:t>교훈은 매출과 건전성의 상충 관리임. 단기 신계약을 늘린 상품이 장기 해지율과 민원을 키우면 CSM은 오히려 훼손됨.</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r>
            <w:r>
              <w:rPr>
                <w:b/>
              </w:rPr>
              <w:t>상품군</w:t>
            </w:r>
          </w:p>
        </w:tc>
        <w:tc>
          <w:tcPr>
            <w:tcW w:type="dxa" w:w="1728"/>
          </w:tcPr>
          <w:p>
            <w:r>
              <w:rPr>
                <w:b/>
              </w:rPr>
            </w:r>
            <w:r>
              <w:rPr>
                <w:b/>
              </w:rPr>
              <w:t>CSM 기여도</w:t>
            </w:r>
          </w:p>
        </w:tc>
        <w:tc>
          <w:tcPr>
            <w:tcW w:type="dxa" w:w="1728"/>
          </w:tcPr>
          <w:p>
            <w:r>
              <w:rPr>
                <w:b/>
              </w:rPr>
            </w:r>
            <w:r>
              <w:rPr>
                <w:b/>
              </w:rPr>
              <w:t>수요 강도</w:t>
            </w:r>
          </w:p>
        </w:tc>
        <w:tc>
          <w:tcPr>
            <w:tcW w:type="dxa" w:w="1728"/>
          </w:tcPr>
          <w:p>
            <w:r>
              <w:rPr>
                <w:b/>
              </w:rPr>
            </w:r>
            <w:r>
              <w:rPr>
                <w:b/>
              </w:rPr>
              <w:t>판매·규제 리스크</w:t>
            </w:r>
          </w:p>
        </w:tc>
        <w:tc>
          <w:tcPr>
            <w:tcW w:type="dxa" w:w="1728"/>
          </w:tcPr>
          <w:p>
            <w:r>
              <w:rPr>
                <w:b/>
              </w:rPr>
            </w:r>
            <w:r>
              <w:rPr>
                <w:b/>
              </w:rPr>
              <w:t>우리 회사 판단</w:t>
            </w:r>
          </w:p>
        </w:tc>
      </w:tr>
      <w:tr>
        <w:tc>
          <w:tcPr>
            <w:tcW w:type="dxa" w:w="1728"/>
          </w:tcPr>
          <w:p>
            <w:r/>
            <w:r>
              <w:t>저축성 보험</w:t>
            </w:r>
          </w:p>
        </w:tc>
        <w:tc>
          <w:tcPr>
            <w:tcW w:type="dxa" w:w="1728"/>
          </w:tcPr>
          <w:p>
            <w:r/>
            <w:r>
              <w:t>매우 낮음</w:t>
            </w:r>
          </w:p>
        </w:tc>
        <w:tc>
          <w:tcPr>
            <w:tcW w:type="dxa" w:w="1728"/>
          </w:tcPr>
          <w:p>
            <w:r/>
            <w:r>
              <w:t>낮음</w:t>
            </w:r>
          </w:p>
        </w:tc>
        <w:tc>
          <w:tcPr>
            <w:tcW w:type="dxa" w:w="1728"/>
          </w:tcPr>
          <w:p>
            <w:r/>
            <w:r>
              <w:t>낮음</w:t>
            </w:r>
          </w:p>
        </w:tc>
        <w:tc>
          <w:tcPr>
            <w:tcW w:type="dxa" w:w="1728"/>
          </w:tcPr>
          <w:p>
            <w:r/>
            <w:r>
              <w:t>축소</w:t>
            </w:r>
          </w:p>
        </w:tc>
      </w:tr>
      <w:tr>
        <w:tc>
          <w:tcPr>
            <w:tcW w:type="dxa" w:w="1728"/>
          </w:tcPr>
          <w:p>
            <w:r/>
            <w:r>
              <w:t>단기납 종신</w:t>
            </w:r>
          </w:p>
        </w:tc>
        <w:tc>
          <w:tcPr>
            <w:tcW w:type="dxa" w:w="1728"/>
          </w:tcPr>
          <w:p>
            <w:r/>
            <w:r>
              <w:t>높음</w:t>
            </w:r>
          </w:p>
        </w:tc>
        <w:tc>
          <w:tcPr>
            <w:tcW w:type="dxa" w:w="1728"/>
          </w:tcPr>
          <w:p>
            <w:r/>
            <w:r>
              <w:t>규제 후 둔화</w:t>
            </w:r>
          </w:p>
        </w:tc>
        <w:tc>
          <w:tcPr>
            <w:tcW w:type="dxa" w:w="1728"/>
          </w:tcPr>
          <w:p>
            <w:r/>
            <w:r>
              <w:t>높음(가정 규제)</w:t>
            </w:r>
          </w:p>
        </w:tc>
        <w:tc>
          <w:tcPr>
            <w:tcW w:type="dxa" w:w="1728"/>
          </w:tcPr>
          <w:p>
            <w:r/>
            <w:r>
              <w:t>선별 유지</w:t>
            </w:r>
          </w:p>
        </w:tc>
      </w:tr>
      <w:tr>
        <w:tc>
          <w:tcPr>
            <w:tcW w:type="dxa" w:w="1728"/>
          </w:tcPr>
          <w:p>
            <w:r/>
            <w:r>
              <w:t>건강·장기인보험</w:t>
            </w:r>
          </w:p>
        </w:tc>
        <w:tc>
          <w:tcPr>
            <w:tcW w:type="dxa" w:w="1728"/>
          </w:tcPr>
          <w:p>
            <w:r/>
            <w:r>
              <w:t>높음</w:t>
            </w:r>
          </w:p>
        </w:tc>
        <w:tc>
          <w:tcPr>
            <w:tcW w:type="dxa" w:w="1728"/>
          </w:tcPr>
          <w:p>
            <w:r/>
            <w:r>
              <w:t>높음</w:t>
            </w:r>
          </w:p>
        </w:tc>
        <w:tc>
          <w:tcPr>
            <w:tcW w:type="dxa" w:w="1728"/>
          </w:tcPr>
          <w:p>
            <w:r/>
            <w:r>
              <w:t>중간(담보 경쟁)</w:t>
            </w:r>
          </w:p>
        </w:tc>
        <w:tc>
          <w:tcPr>
            <w:tcW w:type="dxa" w:w="1728"/>
          </w:tcPr>
          <w:p>
            <w:r/>
            <w:r>
              <w:t>확대</w:t>
            </w:r>
          </w:p>
        </w:tc>
      </w:tr>
      <w:tr>
        <w:tc>
          <w:tcPr>
            <w:tcW w:type="dxa" w:w="1728"/>
          </w:tcPr>
          <w:p>
            <w:r/>
            <w:r>
              <w:t>간병·치매</w:t>
            </w:r>
          </w:p>
        </w:tc>
        <w:tc>
          <w:tcPr>
            <w:tcW w:type="dxa" w:w="1728"/>
          </w:tcPr>
          <w:p>
            <w:r/>
            <w:r>
              <w:t>높음</w:t>
            </w:r>
          </w:p>
        </w:tc>
        <w:tc>
          <w:tcPr>
            <w:tcW w:type="dxa" w:w="1728"/>
          </w:tcPr>
          <w:p>
            <w:r/>
            <w:r>
              <w:t>매우 높음</w:t>
            </w:r>
          </w:p>
        </w:tc>
        <w:tc>
          <w:tcPr>
            <w:tcW w:type="dxa" w:w="1728"/>
          </w:tcPr>
          <w:p>
            <w:r/>
            <w:r>
              <w:t>중간~높음(위험률)</w:t>
            </w:r>
          </w:p>
        </w:tc>
        <w:tc>
          <w:tcPr>
            <w:tcW w:type="dxa" w:w="1728"/>
          </w:tcPr>
          <w:p>
            <w:r/>
            <w:r>
              <w:t>우선 확대</w:t>
            </w:r>
          </w:p>
        </w:tc>
      </w:tr>
      <w:tr>
        <w:tc>
          <w:tcPr>
            <w:tcW w:type="dxa" w:w="1728"/>
          </w:tcPr>
          <w:p>
            <w:r/>
            <w:r>
              <w:t>요양·실버 서비스 결합</w:t>
            </w:r>
          </w:p>
        </w:tc>
        <w:tc>
          <w:tcPr>
            <w:tcW w:type="dxa" w:w="1728"/>
          </w:tcPr>
          <w:p>
            <w:r/>
            <w:r>
              <w:t>중간(회수 장기)</w:t>
            </w:r>
          </w:p>
        </w:tc>
        <w:tc>
          <w:tcPr>
            <w:tcW w:type="dxa" w:w="1728"/>
          </w:tcPr>
          <w:p>
            <w:r/>
            <w:r>
              <w:t>높음</w:t>
            </w:r>
          </w:p>
        </w:tc>
        <w:tc>
          <w:tcPr>
            <w:tcW w:type="dxa" w:w="1728"/>
          </w:tcPr>
          <w:p>
            <w:r/>
            <w:r>
              <w:t>중간(운영 원가)</w:t>
            </w:r>
          </w:p>
        </w:tc>
        <w:tc>
          <w:tcPr>
            <w:tcW w:type="dxa" w:w="1728"/>
          </w:tcPr>
          <w:p>
            <w:r/>
            <w:r>
              <w:t>단계적 진입</w:t>
            </w:r>
          </w:p>
        </w:tc>
      </w:tr>
    </w:tbl>
    <w:p/>
    <w:p>
      <w:pPr>
        <w:pStyle w:val="Heading3"/>
      </w:pPr>
      <w:r>
        <w:t>3) 초고령사회 대응과 요양사업</w:t>
      </w:r>
    </w:p>
    <w:p>
      <w:r>
        <w:t>구조적 기회는 인구에서 옴. 2025년 초고령사회 진입으로 간병·치매 담보 수요가 확대됐고, 보험사가 직접 요양시설·실버타운에 진출하는 "보험+서비스" 결합이 확산됨.</w:t>
      </w:r>
    </w:p>
    <w:p>
      <w:r>
        <w:t>난점은 분명함. 간병·치매는 발생률과 지속기간의 불확실성이 커 보수적 요율이 불가피하고, 요율이 보수적일수록 체감 가격 경쟁력이 떨어짐. 요양사업은 회수 기간이 길고 운영 역량이 본업과 다름.</w:t>
      </w:r>
    </w:p>
    <w:p>
      <w:pPr>
        <w:pStyle w:val="Heading2"/>
      </w:pPr>
      <w:r>
        <w:t>4. 손해보험</w:t>
      </w:r>
    </w:p>
    <w:p>
      <w:pPr>
        <w:pStyle w:val="Heading3"/>
      </w:pPr>
      <w:r>
        <w:t>1) 장기인보험 경쟁 심화</w:t>
      </w:r>
    </w:p>
    <w:p>
      <w:r>
        <w:t>손보업은 실적에서 생보업을 앞지르는 구조가 고착됐고 동력은 장기인보험 신계약 경쟁임. 암·뇌·심장에 더해 간병·치매·유병자 담보까지 확장되며 담보 경쟁이 보장 한도·시책비 인상으로 번지는 패턴이 반복됨.</w:t>
      </w:r>
    </w:p>
    <w:p>
      <w:r>
        <w:t>리스크는 시차에 있음. 과열된 담보 경쟁은 훗날 손해율로 되돌아오므로, 담보 확대는 위험률 검증과 지급 심사 기준 정비를 전제로만 승인해야 함.</w:t>
      </w:r>
    </w:p>
    <w:p>
      <w:pPr>
        <w:pStyle w:val="Heading3"/>
      </w:pPr>
      <w:r>
        <w:t>2) 실손보험 개편 논의</w:t>
      </w:r>
    </w:p>
    <w:p>
      <w:r>
        <w:t>실손은 업권 전체의 구조적 부담임. 4세대 손해율 문제가 누적되며 2025년 비급여 관리 강화를 골자로 한 5세대 개편 논의가 본격화됐고, 손보사는 실손으로 고객을 확보하고 장기인보험으로 수익을 내는 이중 구조를 가짐.</w:t>
      </w:r>
    </w:p>
    <w:p>
      <w:r>
        <w:t>최대 리스크는 계약 전환 프로세스임. 전 국민 규모 상품의 구조 변경은 갱신·전환 안내라는 대규모 판매 절차를 수반하며 이 과정이 불완전판매 리스크의 집중 지점임. 전환 스크립트와 녹취 요건을 사전 확정해야 함.</w:t>
      </w:r>
    </w:p>
    <w:p>
      <w:pPr>
        <w:pStyle w:val="Heading3"/>
      </w:pPr>
      <w:r>
        <w:t>3) 자동차보험 손해율 관리</w:t>
      </w:r>
    </w:p>
    <w:p>
      <w:r>
        <w:t>자동차보험은 전략적 선택지가 좁은 준공공 상품임. 2022~2023년 손해율 개선기를 거쳐 2024~2025년에는 보험료 인하와 손해율 재상승이 동시에 진행되며 요율로 손익을 조정하는 데 한계가 있음.</w:t>
      </w:r>
    </w:p>
    <w:p>
      <w:r>
        <w:t>판단은 손익 상품이 아니라 접점 유지 상품으로의 포지셔닝임. 마일리지·안전운전 할인 등 데이터 기반 세분화로 대응하되, 손해율이 임계치를 넘으면 인수 기준 조정을 신계약 목표보다 우선함.</w:t>
      </w:r>
    </w:p>
    <w:p>
      <w:pPr>
        <w:pStyle w:val="Heading2"/>
      </w:pPr>
      <w:r>
        <w:t>5. 빅테크·핀테크</w:t>
      </w:r>
    </w:p>
    <w:p>
      <w:pPr>
        <w:pStyle w:val="Heading3"/>
      </w:pPr>
      <w:r>
        <w:t>1) 접점 장악과 트래픽 경제</w:t>
      </w:r>
    </w:p>
    <w:p>
      <w:r>
        <w:t>플랫폼의 우위는 상품이 아니라 맥락에 있음. 마이데이터 보편화로 "내 자산을 한눈에 보는 화면"의 소유자가 다음 상품을 제안할 권리를 갖게 됐고, 토스증권은 해외주식에서, 카카오페이·네이버페이는 결제 기반 비교·추천에서 존재감을 확보함.</w:t>
      </w:r>
    </w:p>
    <w:p>
      <w:r>
        <w:t>2025년 생성형 AI 상담·추천 확산은 이 경향을 심화시킴. 첫 화면이 바뀌면 경쟁력은 브랜드가 아니라 데이터로 표현 가능한 속성으로 환원됨.</w:t>
      </w:r>
    </w:p>
    <w:p>
      <w:pPr>
        <w:pStyle w:val="Heading3"/>
      </w:pPr>
      <w:r>
        <w:t>2) 기존 금융사의 대응 전략</w:t>
      </w:r>
    </w:p>
    <w:p>
      <w:r>
        <w:t>대응은 세 갈래이며 비용이 각각 다름. 자체 슈퍼앱은 통제력이 높으나 투자 부담이 크고, 비교 플랫폼 제휴는 유치 효율이 높으나 채널 종속을 감수해야 하며, 대면 채널 재배치는 고액자산가·고령층에서만 성립함.</w:t>
      </w:r>
    </w:p>
    <w:p>
      <w:r>
        <w:t>판단은 이원 운용임. 신규 유입은 제휴로, 잔고 확대와 재판매는 자사 앱으로 나누고 제휴 비중 상한을 사전 설정함. AI 상담은 추천 근거 로그와 검증 체계가 전제이며, 없이 도입하면 알고리즘 자체가 불완전판매 리스크가 됨.</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r>
            <w:r>
              <w:rPr>
                <w:b/>
              </w:rPr>
              <w:t>업권</w:t>
            </w:r>
          </w:p>
        </w:tc>
        <w:tc>
          <w:tcPr>
            <w:tcW w:type="dxa" w:w="1728"/>
          </w:tcPr>
          <w:p>
            <w:r>
              <w:rPr>
                <w:b/>
              </w:rPr>
            </w:r>
            <w:r>
              <w:rPr>
                <w:b/>
              </w:rPr>
              <w:t>수익 구조 변화</w:t>
            </w:r>
          </w:p>
        </w:tc>
        <w:tc>
          <w:tcPr>
            <w:tcW w:type="dxa" w:w="1728"/>
          </w:tcPr>
          <w:p>
            <w:r>
              <w:rPr>
                <w:b/>
              </w:rPr>
            </w:r>
            <w:r>
              <w:rPr>
                <w:b/>
              </w:rPr>
              <w:t>경쟁 구도</w:t>
            </w:r>
          </w:p>
        </w:tc>
        <w:tc>
          <w:tcPr>
            <w:tcW w:type="dxa" w:w="1728"/>
          </w:tcPr>
          <w:p>
            <w:r>
              <w:rPr>
                <w:b/>
              </w:rPr>
            </w:r>
            <w:r>
              <w:rPr>
                <w:b/>
              </w:rPr>
              <w:t>최대 제약</w:t>
            </w:r>
          </w:p>
        </w:tc>
        <w:tc>
          <w:tcPr>
            <w:tcW w:type="dxa" w:w="1728"/>
          </w:tcPr>
          <w:p>
            <w:r>
              <w:rPr>
                <w:b/>
              </w:rPr>
            </w:r>
            <w:r>
              <w:rPr>
                <w:b/>
              </w:rPr>
              <w:t>우리 회사 전략</w:t>
            </w:r>
          </w:p>
        </w:tc>
      </w:tr>
      <w:tr>
        <w:tc>
          <w:tcPr>
            <w:tcW w:type="dxa" w:w="1728"/>
          </w:tcPr>
          <w:p>
            <w:r/>
            <w:r>
              <w:t>은행</w:t>
            </w:r>
          </w:p>
        </w:tc>
        <w:tc>
          <w:tcPr>
            <w:tcW w:type="dxa" w:w="1728"/>
          </w:tcPr>
          <w:p>
            <w:r/>
            <w:r>
              <w:t>이자 80% 내외 → 잔고 수수료</w:t>
            </w:r>
          </w:p>
        </w:tc>
        <w:tc>
          <w:tcPr>
            <w:tcW w:type="dxa" w:w="1728"/>
          </w:tcPr>
          <w:p>
            <w:r/>
            <w:r>
              <w:t>인터넷은행·대환 경쟁</w:t>
            </w:r>
          </w:p>
        </w:tc>
        <w:tc>
          <w:tcPr>
            <w:tcW w:type="dxa" w:w="1728"/>
          </w:tcPr>
          <w:p>
            <w:r/>
            <w:r>
              <w:t>ELS 이후 고난도 제약</w:t>
            </w:r>
          </w:p>
        </w:tc>
        <w:tc>
          <w:tcPr>
            <w:tcW w:type="dxa" w:w="1728"/>
          </w:tcPr>
          <w:p>
            <w:r/>
            <w:r>
              <w:t>계좌 확보와 관계 록인</w:t>
            </w:r>
          </w:p>
        </w:tc>
      </w:tr>
      <w:tr>
        <w:tc>
          <w:tcPr>
            <w:tcW w:type="dxa" w:w="1728"/>
          </w:tcPr>
          <w:p>
            <w:r/>
            <w:r>
              <w:t>증권</w:t>
            </w:r>
          </w:p>
        </w:tc>
        <w:tc>
          <w:tcPr>
            <w:tcW w:type="dxa" w:w="1728"/>
          </w:tcPr>
          <w:p>
            <w:r/>
            <w:r>
              <w:t>회전율 → 잔고 마진</w:t>
            </w:r>
          </w:p>
        </w:tc>
        <w:tc>
          <w:tcPr>
            <w:tcW w:type="dxa" w:w="1728"/>
          </w:tcPr>
          <w:p>
            <w:r/>
            <w:r>
              <w:t>실물이전 머니무브 우위</w:t>
            </w:r>
          </w:p>
        </w:tc>
        <w:tc>
          <w:tcPr>
            <w:tcW w:type="dxa" w:w="1728"/>
          </w:tcPr>
          <w:p>
            <w:r/>
            <w:r>
              <w:t>PF·CFD 익스포저</w:t>
            </w:r>
          </w:p>
        </w:tc>
        <w:tc>
          <w:tcPr>
            <w:tcW w:type="dxa" w:w="1728"/>
          </w:tcPr>
          <w:p>
            <w:r/>
            <w:r>
              <w:t>연금·자문 레이어 선점</w:t>
            </w:r>
          </w:p>
        </w:tc>
      </w:tr>
      <w:tr>
        <w:tc>
          <w:tcPr>
            <w:tcW w:type="dxa" w:w="1728"/>
          </w:tcPr>
          <w:p>
            <w:r/>
            <w:r>
              <w:t>생명보험</w:t>
            </w:r>
          </w:p>
        </w:tc>
        <w:tc>
          <w:tcPr>
            <w:tcW w:type="dxa" w:w="1728"/>
          </w:tcPr>
          <w:p>
            <w:r/>
            <w:r>
              <w:t>보험료 규모 → CSM 기여도</w:t>
            </w:r>
          </w:p>
        </w:tc>
        <w:tc>
          <w:tcPr>
            <w:tcW w:type="dxa" w:w="1728"/>
          </w:tcPr>
          <w:p>
            <w:r/>
            <w:r>
              <w:t>보장성·간병 경쟁</w:t>
            </w:r>
          </w:p>
        </w:tc>
        <w:tc>
          <w:tcPr>
            <w:tcW w:type="dxa" w:w="1728"/>
          </w:tcPr>
          <w:p>
            <w:r/>
            <w:r>
              <w:t>계리 가정 규제</w:t>
            </w:r>
          </w:p>
        </w:tc>
        <w:tc>
          <w:tcPr>
            <w:tcW w:type="dxa" w:w="1728"/>
          </w:tcPr>
          <w:p>
            <w:r/>
            <w:r>
              <w:t>초고령 담보+서비스</w:t>
            </w:r>
          </w:p>
        </w:tc>
      </w:tr>
      <w:tr>
        <w:tc>
          <w:tcPr>
            <w:tcW w:type="dxa" w:w="1728"/>
          </w:tcPr>
          <w:p>
            <w:r/>
            <w:r>
              <w:t>손해보험</w:t>
            </w:r>
          </w:p>
        </w:tc>
        <w:tc>
          <w:tcPr>
            <w:tcW w:type="dxa" w:w="1728"/>
          </w:tcPr>
          <w:p>
            <w:r/>
            <w:r>
              <w:t>장기인보험 신계약 중심</w:t>
            </w:r>
          </w:p>
        </w:tc>
        <w:tc>
          <w:tcPr>
            <w:tcW w:type="dxa" w:w="1728"/>
          </w:tcPr>
          <w:p>
            <w:r/>
            <w:r>
              <w:t>담보·시책비 경쟁</w:t>
            </w:r>
          </w:p>
        </w:tc>
        <w:tc>
          <w:tcPr>
            <w:tcW w:type="dxa" w:w="1728"/>
          </w:tcPr>
          <w:p>
            <w:r/>
            <w:r>
              <w:t>실손 손해율, 요율 규제</w:t>
            </w:r>
          </w:p>
        </w:tc>
        <w:tc>
          <w:tcPr>
            <w:tcW w:type="dxa" w:w="1728"/>
          </w:tcPr>
          <w:p>
            <w:r/>
            <w:r>
              <w:t>손해율 우선, 전환 통제</w:t>
            </w:r>
          </w:p>
        </w:tc>
      </w:tr>
      <w:tr>
        <w:tc>
          <w:tcPr>
            <w:tcW w:type="dxa" w:w="1728"/>
          </w:tcPr>
          <w:p>
            <w:r/>
            <w:r>
              <w:t>빅테크·핀테크</w:t>
            </w:r>
          </w:p>
        </w:tc>
        <w:tc>
          <w:tcPr>
            <w:tcW w:type="dxa" w:w="1728"/>
          </w:tcPr>
          <w:p>
            <w:r/>
            <w:r>
              <w:t>트래픽 → 중개·광고</w:t>
            </w:r>
          </w:p>
        </w:tc>
        <w:tc>
          <w:tcPr>
            <w:tcW w:type="dxa" w:w="1728"/>
          </w:tcPr>
          <w:p>
            <w:r/>
            <w:r>
              <w:t>접점 선점</w:t>
            </w:r>
          </w:p>
        </w:tc>
        <w:tc>
          <w:tcPr>
            <w:tcW w:type="dxa" w:w="1728"/>
          </w:tcPr>
          <w:p>
            <w:r/>
            <w:r>
              <w:t>플랫폼 규제, 중개 책임</w:t>
            </w:r>
          </w:p>
        </w:tc>
        <w:tc>
          <w:tcPr>
            <w:tcW w:type="dxa" w:w="1728"/>
          </w:tcPr>
          <w:p>
            <w:r/>
            <w:r>
              <w:t>제휴·자사 앱 이원 운용</w:t>
            </w:r>
          </w:p>
        </w:tc>
      </w:tr>
    </w:tbl>
    <w:p/>
    <w:p>
      <w:pPr>
        <w:pStyle w:val="Heading1"/>
      </w:pPr>
      <w:r>
        <w:t>Ⅳ. 금융 신상품 사례 분석</w:t>
      </w:r>
    </w:p>
    <w:p>
      <w:pPr>
        <w:pStyle w:val="Heading2"/>
      </w:pPr>
      <w:r>
        <w:t>1. 수신·예금 상품</w:t>
      </w:r>
    </w:p>
    <w:p>
      <w:pPr>
        <w:pStyle w:val="Heading3"/>
      </w:pPr>
      <w:r>
        <w:t>1) 파킹통장과 단기 자금 경쟁</w:t>
      </w:r>
    </w:p>
    <w:p>
      <w:r>
        <w:t>금리가 내려갈수록 파킹통장의 위상은 오히려 올라감. 4%대 특판이 지배하던 시장에서는 보조적 선택이었으나 예금금리가 2%대로 내려온 뒤 주력이 됨.</w:t>
      </w:r>
    </w:p>
    <w:p>
      <w:r>
        <w:t>이유는 단순함. 금리 프리미엄은 줄었지만 유동성 가치는 그대로 남았기 때문이며, 소비자가 원한 것은 더 높은 금리가 아니라 더 유연한 대기 자금이었음. 수익 상품이 아니라 유입 비용으로 보고 투자·연금 계좌로의 동선 전환율을 KPI로 관리해야 함.</w:t>
      </w:r>
    </w:p>
    <w:p>
      <w:pPr>
        <w:pStyle w:val="Heading3"/>
      </w:pPr>
      <w:r>
        <w:t>2) 청년도약계좌 등 정책 금융</w:t>
      </w:r>
    </w:p>
    <w:p>
      <w:r>
        <w:t>청년도약계좌는 2023년 6월 출시된 정책형 상품으로 5년 만기에 정부기여금과 비과세를 결합했고 가입자는 200만명 내외(추정)로 파악됨. 가치는 수익성이 아니라 장기 관계 형성임.</w:t>
      </w:r>
    </w:p>
    <w:p>
      <w:r>
        <w:t>다만 장기 유인과 단기 유동성 욕구가 충돌하며 중도해지 관리가 반복 과제로 지적됨. 만기 자금 재유치 시나리오가 없으면 정책 상품이 만든 청년 접점이 자사 상품으로 연결되지 않음.</w:t>
      </w:r>
    </w:p>
    <w:p>
      <w:pPr>
        <w:pStyle w:val="Heading3"/>
      </w:pPr>
      <w:r>
        <w:t>3) 개인투자용 국채</w:t>
      </w:r>
    </w:p>
    <w:p>
      <w:r>
        <w:t>2024년 6월 최초 발행된 개인투자용 국채는 수신과 투자의 경계에 놓인 새 유형임. 10년·20년물로 발행되며 만기 보유 시 가산금리와 분리과세 혜택이 부여됨.</w:t>
      </w:r>
    </w:p>
    <w:p>
      <w:r>
        <w:t>의미는 수익률보다 설계 주체에 있음. 초저위험·장기·절세 조합은 민간이 만들기 어렵고 공적 영역이 선점했음. 다만 발행 회차별 청약 경쟁률이 크게 엇갈려 초장기 수요가 금리 전망에 민감함도 확인됨.</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r>
            <w:r>
              <w:rPr>
                <w:b/>
              </w:rPr>
              <w:t>상품군</w:t>
            </w:r>
          </w:p>
        </w:tc>
        <w:tc>
          <w:tcPr>
            <w:tcW w:type="dxa" w:w="1728"/>
          </w:tcPr>
          <w:p>
            <w:r>
              <w:rPr>
                <w:b/>
              </w:rPr>
            </w:r>
            <w:r>
              <w:rPr>
                <w:b/>
              </w:rPr>
              <w:t>수요 강도</w:t>
            </w:r>
          </w:p>
        </w:tc>
        <w:tc>
          <w:tcPr>
            <w:tcW w:type="dxa" w:w="1728"/>
          </w:tcPr>
          <w:p>
            <w:r>
              <w:rPr>
                <w:b/>
              </w:rPr>
            </w:r>
            <w:r>
              <w:rPr>
                <w:b/>
              </w:rPr>
              <w:t>수익성</w:t>
            </w:r>
          </w:p>
        </w:tc>
        <w:tc>
          <w:tcPr>
            <w:tcW w:type="dxa" w:w="1728"/>
          </w:tcPr>
          <w:p>
            <w:r>
              <w:rPr>
                <w:b/>
              </w:rPr>
            </w:r>
            <w:r>
              <w:rPr>
                <w:b/>
              </w:rPr>
              <w:t>역량 적합도</w:t>
            </w:r>
          </w:p>
        </w:tc>
        <w:tc>
          <w:tcPr>
            <w:tcW w:type="dxa" w:w="1728"/>
          </w:tcPr>
          <w:p>
            <w:r>
              <w:rPr>
                <w:b/>
              </w:rPr>
            </w:r>
            <w:r>
              <w:rPr>
                <w:b/>
              </w:rPr>
              <w:t>판매·규제 리스크</w:t>
            </w:r>
          </w:p>
        </w:tc>
      </w:tr>
      <w:tr>
        <w:tc>
          <w:tcPr>
            <w:tcW w:type="dxa" w:w="1728"/>
          </w:tcPr>
          <w:p>
            <w:r/>
            <w:r>
              <w:t>파킹통장</w:t>
            </w:r>
          </w:p>
        </w:tc>
        <w:tc>
          <w:tcPr>
            <w:tcW w:type="dxa" w:w="1728"/>
          </w:tcPr>
          <w:p>
            <w:r/>
            <w:r>
              <w:t>높음</w:t>
            </w:r>
          </w:p>
        </w:tc>
        <w:tc>
          <w:tcPr>
            <w:tcW w:type="dxa" w:w="1728"/>
          </w:tcPr>
          <w:p>
            <w:r/>
            <w:r>
              <w:t>낮음(조달비용)</w:t>
            </w:r>
          </w:p>
        </w:tc>
        <w:tc>
          <w:tcPr>
            <w:tcW w:type="dxa" w:w="1728"/>
          </w:tcPr>
          <w:p>
            <w:r/>
            <w:r>
              <w:t>높음</w:t>
            </w:r>
          </w:p>
        </w:tc>
        <w:tc>
          <w:tcPr>
            <w:tcW w:type="dxa" w:w="1728"/>
          </w:tcPr>
          <w:p>
            <w:r/>
            <w:r>
              <w:t>낮음</w:t>
            </w:r>
          </w:p>
        </w:tc>
      </w:tr>
      <w:tr>
        <w:tc>
          <w:tcPr>
            <w:tcW w:type="dxa" w:w="1728"/>
          </w:tcPr>
          <w:p>
            <w:r/>
            <w:r>
              <w:t>거래 기반 우대금리 예금</w:t>
            </w:r>
          </w:p>
        </w:tc>
        <w:tc>
          <w:tcPr>
            <w:tcW w:type="dxa" w:w="1728"/>
          </w:tcPr>
          <w:p>
            <w:r/>
            <w:r>
              <w:t>중간</w:t>
            </w:r>
          </w:p>
        </w:tc>
        <w:tc>
          <w:tcPr>
            <w:tcW w:type="dxa" w:w="1728"/>
          </w:tcPr>
          <w:p>
            <w:r/>
            <w:r>
              <w:t>중간</w:t>
            </w:r>
          </w:p>
        </w:tc>
        <w:tc>
          <w:tcPr>
            <w:tcW w:type="dxa" w:w="1728"/>
          </w:tcPr>
          <w:p>
            <w:r/>
            <w:r>
              <w:t>높음</w:t>
            </w:r>
          </w:p>
        </w:tc>
        <w:tc>
          <w:tcPr>
            <w:tcW w:type="dxa" w:w="1728"/>
          </w:tcPr>
          <w:p>
            <w:r/>
            <w:r>
              <w:t>낮음</w:t>
            </w:r>
          </w:p>
        </w:tc>
      </w:tr>
      <w:tr>
        <w:tc>
          <w:tcPr>
            <w:tcW w:type="dxa" w:w="1728"/>
          </w:tcPr>
          <w:p>
            <w:r/>
            <w:r>
              <w:t>청년도약계좌 등 정책금융</w:t>
            </w:r>
          </w:p>
        </w:tc>
        <w:tc>
          <w:tcPr>
            <w:tcW w:type="dxa" w:w="1728"/>
          </w:tcPr>
          <w:p>
            <w:r/>
            <w:r>
              <w:t>중간(정책 의존)</w:t>
            </w:r>
          </w:p>
        </w:tc>
        <w:tc>
          <w:tcPr>
            <w:tcW w:type="dxa" w:w="1728"/>
          </w:tcPr>
          <w:p>
            <w:r/>
            <w:r>
              <w:t>매우 낮음</w:t>
            </w:r>
          </w:p>
        </w:tc>
        <w:tc>
          <w:tcPr>
            <w:tcW w:type="dxa" w:w="1728"/>
          </w:tcPr>
          <w:p>
            <w:r/>
            <w:r>
              <w:t>높음</w:t>
            </w:r>
          </w:p>
        </w:tc>
        <w:tc>
          <w:tcPr>
            <w:tcW w:type="dxa" w:w="1728"/>
          </w:tcPr>
          <w:p>
            <w:r/>
            <w:r>
              <w:t>낮음(중도해지)</w:t>
            </w:r>
          </w:p>
        </w:tc>
      </w:tr>
      <w:tr>
        <w:tc>
          <w:tcPr>
            <w:tcW w:type="dxa" w:w="1728"/>
          </w:tcPr>
          <w:p>
            <w:r/>
            <w:r>
              <w:t>개인투자용 국채 연계</w:t>
            </w:r>
          </w:p>
        </w:tc>
        <w:tc>
          <w:tcPr>
            <w:tcW w:type="dxa" w:w="1728"/>
          </w:tcPr>
          <w:p>
            <w:r/>
            <w:r>
              <w:t>중간(금리 민감)</w:t>
            </w:r>
          </w:p>
        </w:tc>
        <w:tc>
          <w:tcPr>
            <w:tcW w:type="dxa" w:w="1728"/>
          </w:tcPr>
          <w:p>
            <w:r/>
            <w:r>
              <w:t>낮음</w:t>
            </w:r>
          </w:p>
        </w:tc>
        <w:tc>
          <w:tcPr>
            <w:tcW w:type="dxa" w:w="1728"/>
          </w:tcPr>
          <w:p>
            <w:r/>
            <w:r>
              <w:t>중간</w:t>
            </w:r>
          </w:p>
        </w:tc>
        <w:tc>
          <w:tcPr>
            <w:tcW w:type="dxa" w:w="1728"/>
          </w:tcPr>
          <w:p>
            <w:r/>
            <w:r>
              <w:t>낮음</w:t>
            </w:r>
          </w:p>
        </w:tc>
      </w:tr>
      <w:tr>
        <w:tc>
          <w:tcPr>
            <w:tcW w:type="dxa" w:w="1728"/>
          </w:tcPr>
          <w:p>
            <w:r/>
            <w:r>
              <w:t>보호한도 활용 계층형 수신</w:t>
            </w:r>
          </w:p>
        </w:tc>
        <w:tc>
          <w:tcPr>
            <w:tcW w:type="dxa" w:w="1728"/>
          </w:tcPr>
          <w:p>
            <w:r/>
            <w:r>
              <w:t>중간</w:t>
            </w:r>
          </w:p>
        </w:tc>
        <w:tc>
          <w:tcPr>
            <w:tcW w:type="dxa" w:w="1728"/>
          </w:tcPr>
          <w:p>
            <w:r/>
            <w:r>
              <w:t>중간</w:t>
            </w:r>
          </w:p>
        </w:tc>
        <w:tc>
          <w:tcPr>
            <w:tcW w:type="dxa" w:w="1728"/>
          </w:tcPr>
          <w:p>
            <w:r/>
            <w:r>
              <w:t>높음</w:t>
            </w:r>
          </w:p>
        </w:tc>
        <w:tc>
          <w:tcPr>
            <w:tcW w:type="dxa" w:w="1728"/>
          </w:tcPr>
          <w:p>
            <w:r/>
            <w:r>
              <w:t>낮음</w:t>
            </w:r>
          </w:p>
        </w:tc>
      </w:tr>
    </w:tbl>
    <w:p/>
    <w:p>
      <w:pPr>
        <w:pStyle w:val="Heading2"/>
      </w:pPr>
      <w:r>
        <w:t>2. 투자 상품</w:t>
      </w:r>
    </w:p>
    <w:p>
      <w:pPr>
        <w:pStyle w:val="Heading3"/>
      </w:pPr>
      <w:r>
        <w:t>1) 커버드콜·월배당 ETF</w:t>
      </w:r>
    </w:p>
    <w:p>
      <w:r>
        <w:t>최근 3년 최대의 상품 발명이자 최대의 설명 부담임. 콜옵션 매도 프리미엄을 월 분배 재원으로 삼는 구조가 "매달 들어오는 돈"이라는 서사와 맞물려 2024년 최대 히트 상품군이 됐고, 성장의 이유는 수익률이 아니라 현금흐름의 규칙성이었음.</w:t>
      </w:r>
    </w:p>
    <w:p>
      <w:r>
        <w:t>리스크는 명확함. 상승장 수익 제한과 분배금이 원금에서 나올 수 있다는 특성이 충분히 설명되지 않았고 당국은 목표 분배율 표기 관행에 제동을 걸었음. 고분배율 경쟁에 참여하지 않는 것이 원칙이어야 함.</w:t>
      </w:r>
    </w:p>
    <w:p>
      <w:pPr>
        <w:pStyle w:val="Heading3"/>
      </w:pPr>
      <w:r>
        <w:t>2) 밸류업·해외지수 ETF</w:t>
      </w:r>
    </w:p>
    <w:p>
      <w:r>
        <w:t>두 상품군의 결말이 정반대였다는 점이 핵심임. 해외지수 추종 ETF는 나스닥100·S&amp;P500을 중심으로 3년 성장의 최대 축이 되며 연금 계좌 편입도 늘어난 반면, 밸류업 ETF는 2024년 9월 지수 출시와 함께 쏟아졌으나 자금을 모으지 못했음.</w:t>
      </w:r>
    </w:p>
    <w:p>
      <w:r>
        <w:t>차이는 수요의 뿌리임. 해외지수는 소비자 행태 변화에, 밸류업은 정책 추진력에 기반했음. 정책 기반 테마 상품은 출시 시점에 청산·통합 기준을 함께 설계해야 함.</w:t>
      </w:r>
    </w:p>
    <w:p>
      <w:pPr>
        <w:pStyle w:val="Heading3"/>
      </w:pPr>
      <w:r>
        <w:t>3) 소수점 거래와 채권 직접 투자</w:t>
      </w:r>
    </w:p>
    <w:p>
      <w:r>
        <w:t>두 상품 모두 접근성 혁신이 신시장을 만든 사례임. 미국주식 소수점 거래는 2030의 진입 문턱을 낮췄고 개인 채권 직접투자는 연 30~40조원대 순매수로 안착함.</w:t>
      </w:r>
    </w:p>
    <w:p>
      <w:r>
        <w:t>수익 기여는 상이함. 소수점·24시간 거래는 수익이 거의 없는 획득 채널이고 리테일 채권은 마진과 잔고를 동시에 만드는 수익 상품임. 만기·표면금리·과세를 조합한 만기매칭형 라인은 ELS 이후 비어 있는 중위험 구간을 채울 가장 현실적 수단임.</w:t>
      </w:r>
    </w:p>
    <w:p>
      <w:pPr>
        <w:pStyle w:val="Heading3"/>
      </w:pPr>
      <w:r>
        <w:t>4) 조각투자와 토큰증권</w:t>
      </w:r>
    </w:p>
    <w:p>
      <w:r>
        <w:t>제도 신설을 전제로 한 상품의 타임라인 리스크를 보여주는 사례임. 토큰증권은 2023년 2월 허용 방침이 발표됐으나 법제화 지연으로 2025년까지 시범적 수준에 머물렀고, 같은 기간 제도가 먼저 마련된 가상자산으로 자금이 흘렀음.</w:t>
      </w:r>
    </w:p>
    <w:p>
      <w:r>
        <w:t>원칙은 준비하되 손익 계획에는 반영하지 않는 것임. 입법 일정이 곧 사업 일정이므로 현행 법제 안에서 구현 가능한 신탁·수익증권 구조를 병행 설계해야 함.</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r>
            <w:r>
              <w:rPr>
                <w:b/>
              </w:rPr>
              <w:t>상품군</w:t>
            </w:r>
          </w:p>
        </w:tc>
        <w:tc>
          <w:tcPr>
            <w:tcW w:type="dxa" w:w="1728"/>
          </w:tcPr>
          <w:p>
            <w:r>
              <w:rPr>
                <w:b/>
              </w:rPr>
            </w:r>
            <w:r>
              <w:rPr>
                <w:b/>
              </w:rPr>
              <w:t>수요 강도</w:t>
            </w:r>
          </w:p>
        </w:tc>
        <w:tc>
          <w:tcPr>
            <w:tcW w:type="dxa" w:w="1728"/>
          </w:tcPr>
          <w:p>
            <w:r>
              <w:rPr>
                <w:b/>
              </w:rPr>
            </w:r>
            <w:r>
              <w:rPr>
                <w:b/>
              </w:rPr>
              <w:t>수익성</w:t>
            </w:r>
          </w:p>
        </w:tc>
        <w:tc>
          <w:tcPr>
            <w:tcW w:type="dxa" w:w="1728"/>
          </w:tcPr>
          <w:p>
            <w:r>
              <w:rPr>
                <w:b/>
              </w:rPr>
            </w:r>
            <w:r>
              <w:rPr>
                <w:b/>
              </w:rPr>
              <w:t>역량 적합도</w:t>
            </w:r>
          </w:p>
        </w:tc>
        <w:tc>
          <w:tcPr>
            <w:tcW w:type="dxa" w:w="1728"/>
          </w:tcPr>
          <w:p>
            <w:r>
              <w:rPr>
                <w:b/>
              </w:rPr>
            </w:r>
            <w:r>
              <w:rPr>
                <w:b/>
              </w:rPr>
              <w:t>판매·규제 리스크</w:t>
            </w:r>
          </w:p>
        </w:tc>
      </w:tr>
      <w:tr>
        <w:tc>
          <w:tcPr>
            <w:tcW w:type="dxa" w:w="1728"/>
          </w:tcPr>
          <w:p>
            <w:r/>
            <w:r>
              <w:t>커버드콜·월배당 ETF</w:t>
            </w:r>
          </w:p>
        </w:tc>
        <w:tc>
          <w:tcPr>
            <w:tcW w:type="dxa" w:w="1728"/>
          </w:tcPr>
          <w:p>
            <w:r/>
            <w:r>
              <w:t>매우 높음</w:t>
            </w:r>
          </w:p>
        </w:tc>
        <w:tc>
          <w:tcPr>
            <w:tcW w:type="dxa" w:w="1728"/>
          </w:tcPr>
          <w:p>
            <w:r/>
            <w:r>
              <w:t>중간</w:t>
            </w:r>
          </w:p>
        </w:tc>
        <w:tc>
          <w:tcPr>
            <w:tcW w:type="dxa" w:w="1728"/>
          </w:tcPr>
          <w:p>
            <w:r/>
            <w:r>
              <w:t>중간</w:t>
            </w:r>
          </w:p>
        </w:tc>
        <w:tc>
          <w:tcPr>
            <w:tcW w:type="dxa" w:w="1728"/>
          </w:tcPr>
          <w:p>
            <w:r/>
            <w:r>
              <w:t>높음(재원·표기 규제)</w:t>
            </w:r>
          </w:p>
        </w:tc>
      </w:tr>
      <w:tr>
        <w:tc>
          <w:tcPr>
            <w:tcW w:type="dxa" w:w="1728"/>
          </w:tcPr>
          <w:p>
            <w:r/>
            <w:r>
              <w:t>해외지수 ETF</w:t>
            </w:r>
          </w:p>
        </w:tc>
        <w:tc>
          <w:tcPr>
            <w:tcW w:type="dxa" w:w="1728"/>
          </w:tcPr>
          <w:p>
            <w:r/>
            <w:r>
              <w:t>매우 높음</w:t>
            </w:r>
          </w:p>
        </w:tc>
        <w:tc>
          <w:tcPr>
            <w:tcW w:type="dxa" w:w="1728"/>
          </w:tcPr>
          <w:p>
            <w:r/>
            <w:r>
              <w:t>낮음(보수 경쟁)</w:t>
            </w:r>
          </w:p>
        </w:tc>
        <w:tc>
          <w:tcPr>
            <w:tcW w:type="dxa" w:w="1728"/>
          </w:tcPr>
          <w:p>
            <w:r/>
            <w:r>
              <w:t>중간</w:t>
            </w:r>
          </w:p>
        </w:tc>
        <w:tc>
          <w:tcPr>
            <w:tcW w:type="dxa" w:w="1728"/>
          </w:tcPr>
          <w:p>
            <w:r/>
            <w:r>
              <w:t>중간(환율 설명)</w:t>
            </w:r>
          </w:p>
        </w:tc>
      </w:tr>
      <w:tr>
        <w:tc>
          <w:tcPr>
            <w:tcW w:type="dxa" w:w="1728"/>
          </w:tcPr>
          <w:p>
            <w:r/>
            <w:r>
              <w:t>밸류업·정책 테마 ETF</w:t>
            </w:r>
          </w:p>
        </w:tc>
        <w:tc>
          <w:tcPr>
            <w:tcW w:type="dxa" w:w="1728"/>
          </w:tcPr>
          <w:p>
            <w:r/>
            <w:r>
              <w:t>낮음~중간</w:t>
            </w:r>
          </w:p>
        </w:tc>
        <w:tc>
          <w:tcPr>
            <w:tcW w:type="dxa" w:w="1728"/>
          </w:tcPr>
          <w:p>
            <w:r/>
            <w:r>
              <w:t>낮음</w:t>
            </w:r>
          </w:p>
        </w:tc>
        <w:tc>
          <w:tcPr>
            <w:tcW w:type="dxa" w:w="1728"/>
          </w:tcPr>
          <w:p>
            <w:r/>
            <w:r>
              <w:t>중간</w:t>
            </w:r>
          </w:p>
        </w:tc>
        <w:tc>
          <w:tcPr>
            <w:tcW w:type="dxa" w:w="1728"/>
          </w:tcPr>
          <w:p>
            <w:r/>
            <w:r>
              <w:t>중간(정책 수명)</w:t>
            </w:r>
          </w:p>
        </w:tc>
      </w:tr>
      <w:tr>
        <w:tc>
          <w:tcPr>
            <w:tcW w:type="dxa" w:w="1728"/>
          </w:tcPr>
          <w:p>
            <w:r/>
            <w:r>
              <w:t>리테일 채권·만기매칭형</w:t>
            </w:r>
          </w:p>
        </w:tc>
        <w:tc>
          <w:tcPr>
            <w:tcW w:type="dxa" w:w="1728"/>
          </w:tcPr>
          <w:p>
            <w:r/>
            <w:r>
              <w:t>높음</w:t>
            </w:r>
          </w:p>
        </w:tc>
        <w:tc>
          <w:tcPr>
            <w:tcW w:type="dxa" w:w="1728"/>
          </w:tcPr>
          <w:p>
            <w:r/>
            <w:r>
              <w:t>중간~높음</w:t>
            </w:r>
          </w:p>
        </w:tc>
        <w:tc>
          <w:tcPr>
            <w:tcW w:type="dxa" w:w="1728"/>
          </w:tcPr>
          <w:p>
            <w:r/>
            <w:r>
              <w:t>높음</w:t>
            </w:r>
          </w:p>
        </w:tc>
        <w:tc>
          <w:tcPr>
            <w:tcW w:type="dxa" w:w="1728"/>
          </w:tcPr>
          <w:p>
            <w:r/>
            <w:r>
              <w:t>낮음(구조 단순)</w:t>
            </w:r>
          </w:p>
        </w:tc>
      </w:tr>
      <w:tr>
        <w:tc>
          <w:tcPr>
            <w:tcW w:type="dxa" w:w="1728"/>
          </w:tcPr>
          <w:p>
            <w:r/>
            <w:r>
              <w:t>소수점·24시간 거래</w:t>
            </w:r>
          </w:p>
        </w:tc>
        <w:tc>
          <w:tcPr>
            <w:tcW w:type="dxa" w:w="1728"/>
          </w:tcPr>
          <w:p>
            <w:r/>
            <w:r>
              <w:t>높음</w:t>
            </w:r>
          </w:p>
        </w:tc>
        <w:tc>
          <w:tcPr>
            <w:tcW w:type="dxa" w:w="1728"/>
          </w:tcPr>
          <w:p>
            <w:r/>
            <w:r>
              <w:t>매우 낮음(획득 채널)</w:t>
            </w:r>
          </w:p>
        </w:tc>
        <w:tc>
          <w:tcPr>
            <w:tcW w:type="dxa" w:w="1728"/>
          </w:tcPr>
          <w:p>
            <w:r/>
            <w:r>
              <w:t>높음</w:t>
            </w:r>
          </w:p>
        </w:tc>
        <w:tc>
          <w:tcPr>
            <w:tcW w:type="dxa" w:w="1728"/>
          </w:tcPr>
          <w:p>
            <w:r/>
            <w:r>
              <w:t>낮음</w:t>
            </w:r>
          </w:p>
        </w:tc>
      </w:tr>
      <w:tr>
        <w:tc>
          <w:tcPr>
            <w:tcW w:type="dxa" w:w="1728"/>
          </w:tcPr>
          <w:p>
            <w:r/>
            <w:r>
              <w:t>조각투자·토큰증권</w:t>
            </w:r>
          </w:p>
        </w:tc>
        <w:tc>
          <w:tcPr>
            <w:tcW w:type="dxa" w:w="1728"/>
          </w:tcPr>
          <w:p>
            <w:r/>
            <w:r>
              <w:t>낮음(대기)</w:t>
            </w:r>
          </w:p>
        </w:tc>
        <w:tc>
          <w:tcPr>
            <w:tcW w:type="dxa" w:w="1728"/>
          </w:tcPr>
          <w:p>
            <w:r/>
            <w:r>
              <w:t>미확정</w:t>
            </w:r>
          </w:p>
        </w:tc>
        <w:tc>
          <w:tcPr>
            <w:tcW w:type="dxa" w:w="1728"/>
          </w:tcPr>
          <w:p>
            <w:r/>
            <w:r>
              <w:t>낮음</w:t>
            </w:r>
          </w:p>
        </w:tc>
        <w:tc>
          <w:tcPr>
            <w:tcW w:type="dxa" w:w="1728"/>
          </w:tcPr>
          <w:p>
            <w:r/>
            <w:r>
              <w:t>높음(입법 지연)</w:t>
            </w:r>
          </w:p>
        </w:tc>
      </w:tr>
    </w:tbl>
    <w:p/>
    <w:p>
      <w:pPr>
        <w:pStyle w:val="Heading2"/>
      </w:pPr>
      <w:r>
        <w:t>3. 연금 상품</w:t>
      </w:r>
    </w:p>
    <w:p>
      <w:pPr>
        <w:pStyle w:val="Heading3"/>
      </w:pPr>
      <w:r>
        <w:t>1) 디폴트옵션과 TDF</w:t>
      </w:r>
    </w:p>
    <w:p>
      <w:r>
        <w:t>디폴트옵션은 절반의 성공임. 2023년 7월 시행됐으나 초기 지정 상품의 80~90%대가 원리금보장형에 쏠리며 실적배당형 유도라는 취지가 무색해졌고, 이후 TDF 등 실적배당형 비중이 점진 확대됨.</w:t>
      </w:r>
    </w:p>
    <w:p>
      <w:r>
        <w:t>교훈은 기본값의 지배력임. 원리금보장형 편중은 단기 민원은 적지만 장기 수익률 열위로 이전 사유가 되며 결국 잔고 이탈로 이어지므로, 디폴트 상품 구성을 상품 전략의 핵심으로 다뤄야 함.</w:t>
      </w:r>
    </w:p>
    <w:p>
      <w:pPr>
        <w:pStyle w:val="Heading3"/>
      </w:pPr>
      <w:r>
        <w:t>2) 퇴직연금 실물이전 경쟁</w:t>
      </w:r>
    </w:p>
    <w:p>
      <w:r>
        <w:t>실물이전은 연금 시장의 경쟁 규칙을 바꾼 단일 사건임. 2024년 10월 31일 시행으로 이전 비용이 사라지자 수익률·라인업·앱 편의성이 곧바로 선택 기준이 됐고 ETF 라인업을 앞세운 증권사 이동이 우위를 보임.</w:t>
      </w:r>
    </w:p>
    <w:p>
      <w:r>
        <w:t>적립금은 2022년 말 약 336조원에서 2024년 말 약 431조원, 2025년 500조원 안팎(추정)으로 늘었음. 획득 비용이 낮고 잔존 기간이 긴 구조여서 CAC 대비 LTV가 가장 우수한 시장이며, 방어와 유치를 동시에 최우선 과제로 둬야 함.</w:t>
      </w:r>
    </w:p>
    <w:p>
      <w:pPr>
        <w:pStyle w:val="Heading3"/>
      </w:pPr>
      <w:r>
        <w:t>3) 로보어드바이저 일임</w:t>
      </w:r>
    </w:p>
    <w:p>
      <w:r>
        <w:t>2025년 로보어드바이저의 퇴직연금 일임이 규제샌드박스로 허용되며 저비용 자동 포트폴리오 관리 카테고리가 열림. 상품은 이미 상향 평준화됐고 보수도 바닥권이므로 남은 부가가치는 가입자별 설계·리밸런싱·인출 전략에 있음.</w:t>
      </w:r>
    </w:p>
    <w:p>
      <w:r>
        <w:t>부수 효과도 큼. 일임 구조는 판매 시점의 개별 권유를 줄여 불완전판매 리스크를 구조적으로 낮춤. 다만 알고리즘 검증 체계와 추천 근거 기록이 없으면 새로운 형태의 설명 책임 리스크가 발생함.</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r>
            <w:r>
              <w:rPr>
                <w:b/>
              </w:rPr>
              <w:t>상품군</w:t>
            </w:r>
          </w:p>
        </w:tc>
        <w:tc>
          <w:tcPr>
            <w:tcW w:type="dxa" w:w="1728"/>
          </w:tcPr>
          <w:p>
            <w:r>
              <w:rPr>
                <w:b/>
              </w:rPr>
            </w:r>
            <w:r>
              <w:rPr>
                <w:b/>
              </w:rPr>
              <w:t>수요 강도</w:t>
            </w:r>
          </w:p>
        </w:tc>
        <w:tc>
          <w:tcPr>
            <w:tcW w:type="dxa" w:w="1728"/>
          </w:tcPr>
          <w:p>
            <w:r>
              <w:rPr>
                <w:b/>
              </w:rPr>
            </w:r>
            <w:r>
              <w:rPr>
                <w:b/>
              </w:rPr>
              <w:t>수익성</w:t>
            </w:r>
          </w:p>
        </w:tc>
        <w:tc>
          <w:tcPr>
            <w:tcW w:type="dxa" w:w="1728"/>
          </w:tcPr>
          <w:p>
            <w:r>
              <w:rPr>
                <w:b/>
              </w:rPr>
            </w:r>
            <w:r>
              <w:rPr>
                <w:b/>
              </w:rPr>
              <w:t>역량 적합도</w:t>
            </w:r>
          </w:p>
        </w:tc>
        <w:tc>
          <w:tcPr>
            <w:tcW w:type="dxa" w:w="1728"/>
          </w:tcPr>
          <w:p>
            <w:r>
              <w:rPr>
                <w:b/>
              </w:rPr>
            </w:r>
            <w:r>
              <w:rPr>
                <w:b/>
              </w:rPr>
              <w:t>판매·규제 리스크</w:t>
            </w:r>
          </w:p>
        </w:tc>
      </w:tr>
      <w:tr>
        <w:tc>
          <w:tcPr>
            <w:tcW w:type="dxa" w:w="1728"/>
          </w:tcPr>
          <w:p>
            <w:r/>
            <w:r>
              <w:t>디폴트옵션 지정 상품</w:t>
            </w:r>
          </w:p>
        </w:tc>
        <w:tc>
          <w:tcPr>
            <w:tcW w:type="dxa" w:w="1728"/>
          </w:tcPr>
          <w:p>
            <w:r/>
            <w:r>
              <w:t>매우 높음(제도 강제)</w:t>
            </w:r>
          </w:p>
        </w:tc>
        <w:tc>
          <w:tcPr>
            <w:tcW w:type="dxa" w:w="1728"/>
          </w:tcPr>
          <w:p>
            <w:r/>
            <w:r>
              <w:t>낮음~중간</w:t>
            </w:r>
          </w:p>
        </w:tc>
        <w:tc>
          <w:tcPr>
            <w:tcW w:type="dxa" w:w="1728"/>
          </w:tcPr>
          <w:p>
            <w:r/>
            <w:r>
              <w:t>높음</w:t>
            </w:r>
          </w:p>
        </w:tc>
        <w:tc>
          <w:tcPr>
            <w:tcW w:type="dxa" w:w="1728"/>
          </w:tcPr>
          <w:p>
            <w:r/>
            <w:r>
              <w:t>낮음(열위 시 이탈)</w:t>
            </w:r>
          </w:p>
        </w:tc>
      </w:tr>
      <w:tr>
        <w:tc>
          <w:tcPr>
            <w:tcW w:type="dxa" w:w="1728"/>
          </w:tcPr>
          <w:p>
            <w:r/>
            <w:r>
              <w:t>TDF·연금 전용 ETF</w:t>
            </w:r>
          </w:p>
        </w:tc>
        <w:tc>
          <w:tcPr>
            <w:tcW w:type="dxa" w:w="1728"/>
          </w:tcPr>
          <w:p>
            <w:r/>
            <w:r>
              <w:t>높음</w:t>
            </w:r>
          </w:p>
        </w:tc>
        <w:tc>
          <w:tcPr>
            <w:tcW w:type="dxa" w:w="1728"/>
          </w:tcPr>
          <w:p>
            <w:r/>
            <w:r>
              <w:t>낮음(보수 경쟁)</w:t>
            </w:r>
          </w:p>
        </w:tc>
        <w:tc>
          <w:tcPr>
            <w:tcW w:type="dxa" w:w="1728"/>
          </w:tcPr>
          <w:p>
            <w:r/>
            <w:r>
              <w:t>중간</w:t>
            </w:r>
          </w:p>
        </w:tc>
        <w:tc>
          <w:tcPr>
            <w:tcW w:type="dxa" w:w="1728"/>
          </w:tcPr>
          <w:p>
            <w:r/>
            <w:r>
              <w:t>낮음</w:t>
            </w:r>
          </w:p>
        </w:tc>
      </w:tr>
      <w:tr>
        <w:tc>
          <w:tcPr>
            <w:tcW w:type="dxa" w:w="1728"/>
          </w:tcPr>
          <w:p>
            <w:r/>
            <w:r>
              <w:t>실물이전 대응 라인업</w:t>
            </w:r>
          </w:p>
        </w:tc>
        <w:tc>
          <w:tcPr>
            <w:tcW w:type="dxa" w:w="1728"/>
          </w:tcPr>
          <w:p>
            <w:r/>
            <w:r>
              <w:t>매우 높음</w:t>
            </w:r>
          </w:p>
        </w:tc>
        <w:tc>
          <w:tcPr>
            <w:tcW w:type="dxa" w:w="1728"/>
          </w:tcPr>
          <w:p>
            <w:r/>
            <w:r>
              <w:t>중간(잔고 누적)</w:t>
            </w:r>
          </w:p>
        </w:tc>
        <w:tc>
          <w:tcPr>
            <w:tcW w:type="dxa" w:w="1728"/>
          </w:tcPr>
          <w:p>
            <w:r/>
            <w:r>
              <w:t>높음</w:t>
            </w:r>
          </w:p>
        </w:tc>
        <w:tc>
          <w:tcPr>
            <w:tcW w:type="dxa" w:w="1728"/>
          </w:tcPr>
          <w:p>
            <w:r/>
            <w:r>
              <w:t>낮음</w:t>
            </w:r>
          </w:p>
        </w:tc>
      </w:tr>
      <w:tr>
        <w:tc>
          <w:tcPr>
            <w:tcW w:type="dxa" w:w="1728"/>
          </w:tcPr>
          <w:p>
            <w:r/>
            <w:r>
              <w:t>RA 일임 서비스</w:t>
            </w:r>
          </w:p>
        </w:tc>
        <w:tc>
          <w:tcPr>
            <w:tcW w:type="dxa" w:w="1728"/>
          </w:tcPr>
          <w:p>
            <w:r/>
            <w:r>
              <w:t>중간(확대 국면)</w:t>
            </w:r>
          </w:p>
        </w:tc>
        <w:tc>
          <w:tcPr>
            <w:tcW w:type="dxa" w:w="1728"/>
          </w:tcPr>
          <w:p>
            <w:r/>
            <w:r>
              <w:t>중간~높음</w:t>
            </w:r>
          </w:p>
        </w:tc>
        <w:tc>
          <w:tcPr>
            <w:tcW w:type="dxa" w:w="1728"/>
          </w:tcPr>
          <w:p>
            <w:r/>
            <w:r>
              <w:t>중간</w:t>
            </w:r>
          </w:p>
        </w:tc>
        <w:tc>
          <w:tcPr>
            <w:tcW w:type="dxa" w:w="1728"/>
          </w:tcPr>
          <w:p>
            <w:r/>
            <w:r>
              <w:t>중간(설명책임)</w:t>
            </w:r>
          </w:p>
        </w:tc>
      </w:tr>
      <w:tr>
        <w:tc>
          <w:tcPr>
            <w:tcW w:type="dxa" w:w="1728"/>
          </w:tcPr>
          <w:p>
            <w:r/>
            <w:r>
              <w:t>연금 인출기 설계 상품</w:t>
            </w:r>
          </w:p>
        </w:tc>
        <w:tc>
          <w:tcPr>
            <w:tcW w:type="dxa" w:w="1728"/>
          </w:tcPr>
          <w:p>
            <w:r/>
            <w:r>
              <w:t>높음(공백)</w:t>
            </w:r>
          </w:p>
        </w:tc>
        <w:tc>
          <w:tcPr>
            <w:tcW w:type="dxa" w:w="1728"/>
          </w:tcPr>
          <w:p>
            <w:r/>
            <w:r>
              <w:t>높음</w:t>
            </w:r>
          </w:p>
        </w:tc>
        <w:tc>
          <w:tcPr>
            <w:tcW w:type="dxa" w:w="1728"/>
          </w:tcPr>
          <w:p>
            <w:r/>
            <w:r>
              <w:t>중간</w:t>
            </w:r>
          </w:p>
        </w:tc>
        <w:tc>
          <w:tcPr>
            <w:tcW w:type="dxa" w:w="1728"/>
          </w:tcPr>
          <w:p>
            <w:r/>
            <w:r>
              <w:t>중간(시나리오 고지)</w:t>
            </w:r>
          </w:p>
        </w:tc>
      </w:tr>
    </w:tbl>
    <w:p/>
    <w:p>
      <w:pPr>
        <w:pStyle w:val="Heading2"/>
      </w:pPr>
      <w:r>
        <w:t>4. 보험 상품</w:t>
      </w:r>
    </w:p>
    <w:p>
      <w:pPr>
        <w:pStyle w:val="Heading3"/>
      </w:pPr>
      <w:r>
        <w:t>1) 단기납 종신보험</w:t>
      </w:r>
    </w:p>
    <w:p>
      <w:r>
        <w:t>회계 유인이 상품 왜곡으로 이어진 교과서적 사례임. CSM 확보에 유리한 보장성 전환이 필요했으나 환급률 130%대 경쟁으로 보장성이 사실상 저축성처럼 판매됐고, 당국의 환급률 상한·해지율 가정 규제로 경쟁이 종료됨.</w:t>
      </w:r>
    </w:p>
    <w:p>
      <w:r>
        <w:t>판단은 선별 유지임. 상품 자체를 배제할 이유는 없으나 환급률을 경쟁 변수로 쓰지 않고 유지율 가정을 보수적으로 잡는 조건에서만 승인해야 함.</w:t>
      </w:r>
    </w:p>
    <w:p>
      <w:pPr>
        <w:pStyle w:val="Heading3"/>
      </w:pPr>
      <w:r>
        <w:t>2) 간병·치매보험</w:t>
      </w:r>
    </w:p>
    <w:p>
      <w:r>
        <w:t>초고령사회 진입과 함께 구조적 성장 궤도에 오른 유일한 보장 영역임. 장기요양등급 연계 보장과 실제 돌봄 비용에 대응하는 설계가 확산됨.</w:t>
      </w:r>
    </w:p>
    <w:p>
      <w:r>
        <w:t>난점은 위험률 데이터임. 발생률과 지속기간의 불확실성이 커 보수적 요율이 불가피하고, 요율이 보수적일수록 체감 가격 경쟁력이 떨어짐. 실손처럼 손해율이 뒤늦게 악화되는 전철을 피하려면 담보 한도를 단계적으로 개방하고 인수 데이터를 축적해야 함.</w:t>
      </w:r>
    </w:p>
    <w:p>
      <w:pPr>
        <w:pStyle w:val="Heading3"/>
      </w:pPr>
      <w:r>
        <w:t>3) 미니보험과 펫보험</w:t>
      </w:r>
    </w:p>
    <w:p>
      <w:r>
        <w:t>수익 상품이 아니라 관계 형성 상품임. 소액단기전문보험사 제도와 펫보험 활성화 정책(2023~2024)으로 생활밀착형 보장 시장이 열렸으나 개별 규모는 아직 니치임.</w:t>
      </w:r>
    </w:p>
    <w:p>
      <w:r>
        <w:t>구조적 한계는 채널 경제성임. 건당 보험료가 낮아 대면 채널로는 원가가 성립하지 않음. 디지털 채널 전용 운영과 함께 신규 고객 유입 수·후속 계약 전환율로 목표 지표를 분리해야 함.</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r>
            <w:r>
              <w:rPr>
                <w:b/>
              </w:rPr>
              <w:t>상품군</w:t>
            </w:r>
          </w:p>
        </w:tc>
        <w:tc>
          <w:tcPr>
            <w:tcW w:type="dxa" w:w="1728"/>
          </w:tcPr>
          <w:p>
            <w:r>
              <w:rPr>
                <w:b/>
              </w:rPr>
            </w:r>
            <w:r>
              <w:rPr>
                <w:b/>
              </w:rPr>
              <w:t>수요 강도</w:t>
            </w:r>
          </w:p>
        </w:tc>
        <w:tc>
          <w:tcPr>
            <w:tcW w:type="dxa" w:w="1728"/>
          </w:tcPr>
          <w:p>
            <w:r>
              <w:rPr>
                <w:b/>
              </w:rPr>
            </w:r>
            <w:r>
              <w:rPr>
                <w:b/>
              </w:rPr>
              <w:t>CSM·수익 기여</w:t>
            </w:r>
          </w:p>
        </w:tc>
        <w:tc>
          <w:tcPr>
            <w:tcW w:type="dxa" w:w="1728"/>
          </w:tcPr>
          <w:p>
            <w:r>
              <w:rPr>
                <w:b/>
              </w:rPr>
            </w:r>
            <w:r>
              <w:rPr>
                <w:b/>
              </w:rPr>
              <w:t>역량 적합도</w:t>
            </w:r>
          </w:p>
        </w:tc>
        <w:tc>
          <w:tcPr>
            <w:tcW w:type="dxa" w:w="1728"/>
          </w:tcPr>
          <w:p>
            <w:r>
              <w:rPr>
                <w:b/>
              </w:rPr>
            </w:r>
            <w:r>
              <w:rPr>
                <w:b/>
              </w:rPr>
              <w:t>판매·규제 리스크</w:t>
            </w:r>
          </w:p>
        </w:tc>
      </w:tr>
      <w:tr>
        <w:tc>
          <w:tcPr>
            <w:tcW w:type="dxa" w:w="1728"/>
          </w:tcPr>
          <w:p>
            <w:r/>
            <w:r>
              <w:t>단기납 종신</w:t>
            </w:r>
          </w:p>
        </w:tc>
        <w:tc>
          <w:tcPr>
            <w:tcW w:type="dxa" w:w="1728"/>
          </w:tcPr>
          <w:p>
            <w:r/>
            <w:r>
              <w:t>규제 후 둔화</w:t>
            </w:r>
          </w:p>
        </w:tc>
        <w:tc>
          <w:tcPr>
            <w:tcW w:type="dxa" w:w="1728"/>
          </w:tcPr>
          <w:p>
            <w:r/>
            <w:r>
              <w:t>높음</w:t>
            </w:r>
          </w:p>
        </w:tc>
        <w:tc>
          <w:tcPr>
            <w:tcW w:type="dxa" w:w="1728"/>
          </w:tcPr>
          <w:p>
            <w:r/>
            <w:r>
              <w:t>높음</w:t>
            </w:r>
          </w:p>
        </w:tc>
        <w:tc>
          <w:tcPr>
            <w:tcW w:type="dxa" w:w="1728"/>
          </w:tcPr>
          <w:p>
            <w:r/>
            <w:r>
              <w:t>높음(가정 규제·민원)</w:t>
            </w:r>
          </w:p>
        </w:tc>
      </w:tr>
      <w:tr>
        <w:tc>
          <w:tcPr>
            <w:tcW w:type="dxa" w:w="1728"/>
          </w:tcPr>
          <w:p>
            <w:r/>
            <w:r>
              <w:t>장기인보험(건강)</w:t>
            </w:r>
          </w:p>
        </w:tc>
        <w:tc>
          <w:tcPr>
            <w:tcW w:type="dxa" w:w="1728"/>
          </w:tcPr>
          <w:p>
            <w:r/>
            <w:r>
              <w:t>높음</w:t>
            </w:r>
          </w:p>
        </w:tc>
        <w:tc>
          <w:tcPr>
            <w:tcW w:type="dxa" w:w="1728"/>
          </w:tcPr>
          <w:p>
            <w:r/>
            <w:r>
              <w:t>높음</w:t>
            </w:r>
          </w:p>
        </w:tc>
        <w:tc>
          <w:tcPr>
            <w:tcW w:type="dxa" w:w="1728"/>
          </w:tcPr>
          <w:p>
            <w:r/>
            <w:r>
              <w:t>높음</w:t>
            </w:r>
          </w:p>
        </w:tc>
        <w:tc>
          <w:tcPr>
            <w:tcW w:type="dxa" w:w="1728"/>
          </w:tcPr>
          <w:p>
            <w:r/>
            <w:r>
              <w:t>중간(담보 경쟁)</w:t>
            </w:r>
          </w:p>
        </w:tc>
      </w:tr>
      <w:tr>
        <w:tc>
          <w:tcPr>
            <w:tcW w:type="dxa" w:w="1728"/>
          </w:tcPr>
          <w:p>
            <w:r/>
            <w:r>
              <w:t>간병·치매</w:t>
            </w:r>
          </w:p>
        </w:tc>
        <w:tc>
          <w:tcPr>
            <w:tcW w:type="dxa" w:w="1728"/>
          </w:tcPr>
          <w:p>
            <w:r/>
            <w:r>
              <w:t>매우 높음</w:t>
            </w:r>
          </w:p>
        </w:tc>
        <w:tc>
          <w:tcPr>
            <w:tcW w:type="dxa" w:w="1728"/>
          </w:tcPr>
          <w:p>
            <w:r/>
            <w:r>
              <w:t>높음</w:t>
            </w:r>
          </w:p>
        </w:tc>
        <w:tc>
          <w:tcPr>
            <w:tcW w:type="dxa" w:w="1728"/>
          </w:tcPr>
          <w:p>
            <w:r/>
            <w:r>
              <w:t>중간</w:t>
            </w:r>
          </w:p>
        </w:tc>
        <w:tc>
          <w:tcPr>
            <w:tcW w:type="dxa" w:w="1728"/>
          </w:tcPr>
          <w:p>
            <w:r/>
            <w:r>
              <w:t>중간~높음(위험률)</w:t>
            </w:r>
          </w:p>
        </w:tc>
      </w:tr>
      <w:tr>
        <w:tc>
          <w:tcPr>
            <w:tcW w:type="dxa" w:w="1728"/>
          </w:tcPr>
          <w:p>
            <w:r/>
            <w:r>
              <w:t>요양 서비스 결합</w:t>
            </w:r>
          </w:p>
        </w:tc>
        <w:tc>
          <w:tcPr>
            <w:tcW w:type="dxa" w:w="1728"/>
          </w:tcPr>
          <w:p>
            <w:r/>
            <w:r>
              <w:t>높음</w:t>
            </w:r>
          </w:p>
        </w:tc>
        <w:tc>
          <w:tcPr>
            <w:tcW w:type="dxa" w:w="1728"/>
          </w:tcPr>
          <w:p>
            <w:r/>
            <w:r>
              <w:t>중간(회수 장기)</w:t>
            </w:r>
          </w:p>
        </w:tc>
        <w:tc>
          <w:tcPr>
            <w:tcW w:type="dxa" w:w="1728"/>
          </w:tcPr>
          <w:p>
            <w:r/>
            <w:r>
              <w:t>낮음~중간</w:t>
            </w:r>
          </w:p>
        </w:tc>
        <w:tc>
          <w:tcPr>
            <w:tcW w:type="dxa" w:w="1728"/>
          </w:tcPr>
          <w:p>
            <w:r/>
            <w:r>
              <w:t>중간(운영 리스크)</w:t>
            </w:r>
          </w:p>
        </w:tc>
      </w:tr>
      <w:tr>
        <w:tc>
          <w:tcPr>
            <w:tcW w:type="dxa" w:w="1728"/>
          </w:tcPr>
          <w:p>
            <w:r/>
            <w:r>
              <w:t>미니·펫보험</w:t>
            </w:r>
          </w:p>
        </w:tc>
        <w:tc>
          <w:tcPr>
            <w:tcW w:type="dxa" w:w="1728"/>
          </w:tcPr>
          <w:p>
            <w:r/>
            <w:r>
              <w:t>중간</w:t>
            </w:r>
          </w:p>
        </w:tc>
        <w:tc>
          <w:tcPr>
            <w:tcW w:type="dxa" w:w="1728"/>
          </w:tcPr>
          <w:p>
            <w:r/>
            <w:r>
              <w:t>매우 낮음</w:t>
            </w:r>
          </w:p>
        </w:tc>
        <w:tc>
          <w:tcPr>
            <w:tcW w:type="dxa" w:w="1728"/>
          </w:tcPr>
          <w:p>
            <w:r/>
            <w:r>
              <w:t>중간</w:t>
            </w:r>
          </w:p>
        </w:tc>
        <w:tc>
          <w:tcPr>
            <w:tcW w:type="dxa" w:w="1728"/>
          </w:tcPr>
          <w:p>
            <w:r/>
            <w:r>
              <w:t>낮음(채널 원가)</w:t>
            </w:r>
          </w:p>
        </w:tc>
      </w:tr>
      <w:tr>
        <w:tc>
          <w:tcPr>
            <w:tcW w:type="dxa" w:w="1728"/>
          </w:tcPr>
          <w:p>
            <w:r/>
            <w:r>
              <w:t>실손(5세대 전환)</w:t>
            </w:r>
          </w:p>
        </w:tc>
        <w:tc>
          <w:tcPr>
            <w:tcW w:type="dxa" w:w="1728"/>
          </w:tcPr>
          <w:p>
            <w:r/>
            <w:r>
              <w:t>매우 높음</w:t>
            </w:r>
          </w:p>
        </w:tc>
        <w:tc>
          <w:tcPr>
            <w:tcW w:type="dxa" w:w="1728"/>
          </w:tcPr>
          <w:p>
            <w:r/>
            <w:r>
              <w:t>낮음</w:t>
            </w:r>
          </w:p>
        </w:tc>
        <w:tc>
          <w:tcPr>
            <w:tcW w:type="dxa" w:w="1728"/>
          </w:tcPr>
          <w:p>
            <w:r/>
            <w:r>
              <w:t>높음</w:t>
            </w:r>
          </w:p>
        </w:tc>
        <w:tc>
          <w:tcPr>
            <w:tcW w:type="dxa" w:w="1728"/>
          </w:tcPr>
          <w:p>
            <w:r/>
            <w:r>
              <w:t>높음(전환 안내)</w:t>
            </w:r>
          </w:p>
        </w:tc>
      </w:tr>
    </w:tbl>
    <w:p/>
    <w:p>
      <w:pPr>
        <w:pStyle w:val="Heading2"/>
      </w:pPr>
      <w:r>
        <w:t>5. 지급결제·플랫폼</w:t>
      </w:r>
    </w:p>
    <w:p>
      <w:pPr>
        <w:pStyle w:val="Heading3"/>
      </w:pPr>
      <w:r>
        <w:t>1) 간편결제 확산</w:t>
      </w:r>
    </w:p>
    <w:p>
      <w:r>
        <w:t>결제 자체의 마진은 얇지만 데이터 가치는 큼. 애플페이 국내 도입(2023.3, 현대카드) 이후 카드사·페이사는 결제 수익보다 결제 데이터를 활용한 추천·광고·금융상품 연계로 무게중심을 옮김.</w:t>
      </w:r>
    </w:p>
    <w:p>
      <w:r>
        <w:t>동시에 규율도 강화됨. 티몬·위메프 정산 사태(2024.7, 미정산 약 1.3조원)는 카드·PG 환불 부담으로 번졌고 선불충전금 별도관리 의무 강화로 이어졌음. 제휴형 상품 설계 시 정산·예치금 구조 검토를 표준 절차로 둬야 함.</w:t>
      </w:r>
    </w:p>
    <w:p>
      <w:pPr>
        <w:pStyle w:val="Heading3"/>
      </w:pPr>
      <w:r>
        <w:t>2) 마이데이터 기반 자산관리</w:t>
      </w:r>
    </w:p>
    <w:p>
      <w:r>
        <w:t>마이데이터는 조회·지출 분석이 표준화되며 차별화 요소를 잃었으나 상품기획 관점의 가치는 여전히 큼. 타사 자산을 한 화면에 모으면서 자사 고객의 총자산 대비 점유율을 처음으로 관측할 수 있게 됨.</w:t>
      </w:r>
    </w:p>
    <w:p>
      <w:r>
        <w:t>질문이 "우리 상품이 부족하다"에서 "이 고객의 포트폴리오에서 빠진 조각은 무엇인가"로 바뀜. 설정할 지표는 판매 건수가 아니라 고객당 자산 점유율이며, 이 지표를 올리는 제안이 곧 교차판매 전략임.</w:t>
      </w:r>
    </w:p>
    <w:p>
      <w:pPr>
        <w:pStyle w:val="Heading3"/>
      </w:pPr>
      <w:r>
        <w:t>3) 생성형 AI 상담·추천</w:t>
      </w:r>
    </w:p>
    <w:p>
      <w:r>
        <w:t>2025년 생성형 AI 상담·추천이 확산되며 상품 선택의 첫 접점이 사람에서 알고리즘으로 이동하기 시작했고 자문의 한계비용이 낮아짐. 미해결 과제는 금융소비자보호법상 설명의무·적합성 원칙과의 정합성임.</w:t>
      </w:r>
    </w:p>
    <w:p>
      <w:r>
        <w:t>도입 조건은 세 가지임. 추천 근거 로그의 보존, 부적합 상품의 사전 차단 규칙, 사람 상담으로의 에스컬레이션 경로임. 이 세 가지 없이 도입하면 효율보다 배상 비용이 커짐.</w:t>
      </w:r>
    </w:p>
    <w:p>
      <w:pPr>
        <w:pStyle w:val="Heading1"/>
      </w:pPr>
      <w:r>
        <w:t>Ⅴ. 소비자 트렌드와 신상품 기회 평가</w:t>
      </w:r>
    </w:p>
    <w:p>
      <w:pPr>
        <w:pStyle w:val="Heading2"/>
      </w:pPr>
      <w:r>
        <w:t>1. 소비자 투자 행태 변화</w:t>
      </w:r>
    </w:p>
    <w:p>
      <w:pPr>
        <w:pStyle w:val="Heading3"/>
      </w:pPr>
      <w:r>
        <w:t>1) 서학개미의 구조화</w:t>
      </w:r>
    </w:p>
    <w:p>
      <w:r>
        <w:t>해외투자는 되돌아가지 않는 변화임. 보관금액은 2022년 말 약 550억 달러에서 2024년 말 약 1,120억 달러, 2025년 1,500억 달러 안팎(추정)으로 3년 만에 2배 이상 늘었고, 2025년 코스피 급등 이후에도 줄지 않았음.</w:t>
      </w:r>
    </w:p>
    <w:p>
      <w:r>
        <w:t>함의는 두 가지임. 해외 라인업 부재는 자금 유출을 막을 수 없다는 것, 그리고 환전·수수료·거래 시간 등 마찰 제거가 잔고 유지의 조건이라는 것임.</w:t>
      </w:r>
    </w:p>
    <w:p>
      <w:pPr>
        <w:pStyle w:val="Heading3"/>
      </w:pPr>
      <w:r>
        <w:t>2) 레버리지·고위험 선호</w:t>
      </w:r>
    </w:p>
    <w:p>
      <w:r>
        <w:t>쏠림은 기회인 동시에 부채임. 자금이 소수 성장주와 레버리지 ETF에 집중돼 분산 효과는 제한적인 반면 통화·시차·세제 리스크가 추가됐고, 레버리지 상품은 변동성 끌림으로 장기 보유 시 성과 괴리가 커짐.</w:t>
      </w:r>
    </w:p>
    <w:p>
      <w:r>
        <w:t>ELS의 교훈이 그대로 적용됨. 손실 자체가 아니라 손실 이후의 제도 변화가 사업을 바꾸므로, 레버리지 상품에는 신용공여 한도 관리와 위험 고지 절차를 사전 내장해야 함.</w:t>
      </w:r>
    </w:p>
    <w:p>
      <w:pPr>
        <w:pStyle w:val="Heading3"/>
      </w:pPr>
      <w:r>
        <w:t>3) 절약형 소비와의 공존</w:t>
      </w:r>
    </w:p>
    <w:p>
      <w:r>
        <w:t>전통적 세분화가 무력화됨. 같은 소비자가 앱테크·무지출 챌린지로 절약하면서 동시에 레버리지 ETF와 가상자산에 투자하며, 이는 자산 형성 경로에 대한 불신이 만든 바벨형 재무행동임.</w:t>
      </w:r>
    </w:p>
    <w:p>
      <w:r>
        <w:t>시사점은 계좌 경험 설계임. 안정형·공격형으로 고객을 나누는 세분화는 현실과 어긋나며, 대기 자금과 위험 자금이 하나의 계좌 경험 안에서 오갈 수 있어야 함.</w:t>
      </w:r>
    </w:p>
    <w:p>
      <w:pPr>
        <w:pStyle w:val="Heading2"/>
      </w:pPr>
      <w:r>
        <w:t>2. 세그먼트별 수요 구조</w:t>
      </w:r>
    </w:p>
    <w:p>
      <w:pPr>
        <w:pStyle w:val="Heading3"/>
      </w:pPr>
      <w:r>
        <w:t>1) 2030 — 해외투자·소액 분산</w:t>
      </w:r>
    </w:p>
    <w:p>
      <w:r>
        <w:t>2030은 해외주식·가상자산·레버리지를 선호하고 소수점 거래로 소액 분산을 병행함. 모바일 완결형 가입이 기본값이고 정보 획득이 커뮤니티·영상 채널에 집중돼 창구 설득력이 작동하지 않음.</w:t>
      </w:r>
    </w:p>
    <w:p>
      <w:r>
        <w:t>획득 단가는 낮지만 잔고 규모도 작아 단기 수익 기여는 제한적임. 목표는 수익이 아니라 접점 확보이며, 정책금융·소수점 거래·파킹통장으로 유입시킨 뒤 연금·ISA 계좌로 연결하는 동선이 LTV를 결정함.</w:t>
      </w:r>
    </w:p>
    <w:p>
      <w:pPr>
        <w:pStyle w:val="Heading3"/>
      </w:pPr>
      <w:r>
        <w:t>2) 4050 — 인컴·자산 이전</w:t>
      </w:r>
    </w:p>
    <w:p>
      <w:r>
        <w:t>4050은 자산 형성기와 은퇴 준비기가 겹치는 구간임. 절세 계좌와 해외지수 상품을 함께 보유하며, 50대에 접어들면 총수익률보다 인출 가능성이 중요해져 월 단위 현금흐름 상품 선호가 강해짐.</w:t>
      </w:r>
    </w:p>
    <w:p>
      <w:r>
        <w:t>우리 회사의 최우선 타깃임. 잔고 규모가 크고 잔존 기간이 길며 절세 계좌를 축으로 대출·투자·보험을 묶는 통합 제안이 가능함.</w:t>
      </w:r>
    </w:p>
    <w:p>
      <w:pPr>
        <w:pStyle w:val="Heading3"/>
      </w:pPr>
      <w:r>
        <w:t>3) 6070 — 연금·간병·안정형</w:t>
      </w:r>
    </w:p>
    <w:p>
      <w:r>
        <w:t>6070은 인출·보전 단계이며 개인투자용 국채·예금·월지급식 연금·간병보험을 선호하고 대면 상담 비중이 높음. 초고령사회 진입으로 수요가 개별 상품이 아니라 연금 인출·간병·요양·상속의 묶음으로 나타남.</w:t>
      </w:r>
    </w:p>
    <w:p>
      <w:r>
        <w:t>판매 리스크가 가장 높은 구간이기도 함. 설명의무 이행과 대리인 문제 관리가 미흡하면 상품 성과와 무관하게 분쟁이 발생하므로, 녹취·가족 동석 등 절차 요건을 세그먼트 기준으로 차등 적용해야 함.</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r>
            <w:r>
              <w:rPr>
                <w:b/>
              </w:rPr>
              <w:t>세그먼트</w:t>
            </w:r>
          </w:p>
        </w:tc>
        <w:tc>
          <w:tcPr>
            <w:tcW w:type="dxa" w:w="1728"/>
          </w:tcPr>
          <w:p>
            <w:r>
              <w:rPr>
                <w:b/>
              </w:rPr>
            </w:r>
            <w:r>
              <w:rPr>
                <w:b/>
              </w:rPr>
              <w:t>목적함수</w:t>
            </w:r>
          </w:p>
        </w:tc>
        <w:tc>
          <w:tcPr>
            <w:tcW w:type="dxa" w:w="1728"/>
          </w:tcPr>
          <w:p>
            <w:r>
              <w:rPr>
                <w:b/>
              </w:rPr>
            </w:r>
            <w:r>
              <w:rPr>
                <w:b/>
              </w:rPr>
              <w:t>선호 상품군</w:t>
            </w:r>
          </w:p>
        </w:tc>
        <w:tc>
          <w:tcPr>
            <w:tcW w:type="dxa" w:w="1728"/>
          </w:tcPr>
          <w:p>
            <w:r>
              <w:rPr>
                <w:b/>
              </w:rPr>
            </w:r>
            <w:r>
              <w:rPr>
                <w:b/>
              </w:rPr>
              <w:t>수익 기여</w:t>
            </w:r>
          </w:p>
        </w:tc>
        <w:tc>
          <w:tcPr>
            <w:tcW w:type="dxa" w:w="1728"/>
          </w:tcPr>
          <w:p>
            <w:r>
              <w:rPr>
                <w:b/>
              </w:rPr>
            </w:r>
            <w:r>
              <w:rPr>
                <w:b/>
              </w:rPr>
              <w:t>판매 리스크 관리</w:t>
            </w:r>
          </w:p>
        </w:tc>
      </w:tr>
      <w:tr>
        <w:tc>
          <w:tcPr>
            <w:tcW w:type="dxa" w:w="1728"/>
          </w:tcPr>
          <w:p>
            <w:r/>
            <w:r>
              <w:t>2030</w:t>
            </w:r>
          </w:p>
        </w:tc>
        <w:tc>
          <w:tcPr>
            <w:tcW w:type="dxa" w:w="1728"/>
          </w:tcPr>
          <w:p>
            <w:r/>
            <w:r>
              <w:t>자산 축적</w:t>
            </w:r>
          </w:p>
        </w:tc>
        <w:tc>
          <w:tcPr>
            <w:tcW w:type="dxa" w:w="1728"/>
          </w:tcPr>
          <w:p>
            <w:r/>
            <w:r>
              <w:t>소수점 해외주식, 레버리지, 파킹통장</w:t>
            </w:r>
          </w:p>
        </w:tc>
        <w:tc>
          <w:tcPr>
            <w:tcW w:type="dxa" w:w="1728"/>
          </w:tcPr>
          <w:p>
            <w:r/>
            <w:r>
              <w:t>낮음(획득 채널)</w:t>
            </w:r>
          </w:p>
        </w:tc>
        <w:tc>
          <w:tcPr>
            <w:tcW w:type="dxa" w:w="1728"/>
          </w:tcPr>
          <w:p>
            <w:r/>
            <w:r>
              <w:t>레버리지 위험 고지</w:t>
            </w:r>
          </w:p>
        </w:tc>
      </w:tr>
      <w:tr>
        <w:tc>
          <w:tcPr>
            <w:tcW w:type="dxa" w:w="1728"/>
          </w:tcPr>
          <w:p>
            <w:r/>
            <w:r>
              <w:t>4050</w:t>
            </w:r>
          </w:p>
        </w:tc>
        <w:tc>
          <w:tcPr>
            <w:tcW w:type="dxa" w:w="1728"/>
          </w:tcPr>
          <w:p>
            <w:r/>
            <w:r>
              <w:t>축적+인출 준비</w:t>
            </w:r>
          </w:p>
        </w:tc>
        <w:tc>
          <w:tcPr>
            <w:tcW w:type="dxa" w:w="1728"/>
          </w:tcPr>
          <w:p>
            <w:r/>
            <w:r>
              <w:t>ISA·연금저축·IRP, 해외지수, 월배당</w:t>
            </w:r>
          </w:p>
        </w:tc>
        <w:tc>
          <w:tcPr>
            <w:tcW w:type="dxa" w:w="1728"/>
          </w:tcPr>
          <w:p>
            <w:r/>
            <w:r>
              <w:t>높음(핵심 수익원)</w:t>
            </w:r>
          </w:p>
        </w:tc>
        <w:tc>
          <w:tcPr>
            <w:tcW w:type="dxa" w:w="1728"/>
          </w:tcPr>
          <w:p>
            <w:r/>
            <w:r>
              <w:t>절세 계좌·이전 안내 정확성</w:t>
            </w:r>
          </w:p>
        </w:tc>
      </w:tr>
      <w:tr>
        <w:tc>
          <w:tcPr>
            <w:tcW w:type="dxa" w:w="1728"/>
          </w:tcPr>
          <w:p>
            <w:r/>
            <w:r>
              <w:t>6070</w:t>
            </w:r>
          </w:p>
        </w:tc>
        <w:tc>
          <w:tcPr>
            <w:tcW w:type="dxa" w:w="1728"/>
          </w:tcPr>
          <w:p>
            <w:r/>
            <w:r>
              <w:t>인출·보전</w:t>
            </w:r>
          </w:p>
        </w:tc>
        <w:tc>
          <w:tcPr>
            <w:tcW w:type="dxa" w:w="1728"/>
          </w:tcPr>
          <w:p>
            <w:r/>
            <w:r>
              <w:t>월지급식 연금, 채권, 간병·치매, 국채</w:t>
            </w:r>
          </w:p>
        </w:tc>
        <w:tc>
          <w:tcPr>
            <w:tcW w:type="dxa" w:w="1728"/>
          </w:tcPr>
          <w:p>
            <w:r/>
            <w:r>
              <w:t>중간~높음</w:t>
            </w:r>
          </w:p>
        </w:tc>
        <w:tc>
          <w:tcPr>
            <w:tcW w:type="dxa" w:w="1728"/>
          </w:tcPr>
          <w:p>
            <w:r/>
            <w:r>
              <w:t>녹취·가족 동석, 시나리오 고지</w:t>
            </w:r>
          </w:p>
        </w:tc>
      </w:tr>
      <w:tr>
        <w:tc>
          <w:tcPr>
            <w:tcW w:type="dxa" w:w="1728"/>
          </w:tcPr>
          <w:p>
            <w:r/>
            <w:r>
              <w:t>고액자산가</w:t>
            </w:r>
          </w:p>
        </w:tc>
        <w:tc>
          <w:tcPr>
            <w:tcW w:type="dxa" w:w="1728"/>
          </w:tcPr>
          <w:p>
            <w:r/>
            <w:r>
              <w:t>절세·승계</w:t>
            </w:r>
          </w:p>
        </w:tc>
        <w:tc>
          <w:tcPr>
            <w:tcW w:type="dxa" w:w="1728"/>
          </w:tcPr>
          <w:p>
            <w:r/>
            <w:r>
              <w:t>분리과세 상품, 채권, 신탁, 대체자산</w:t>
            </w:r>
          </w:p>
        </w:tc>
        <w:tc>
          <w:tcPr>
            <w:tcW w:type="dxa" w:w="1728"/>
          </w:tcPr>
          <w:p>
            <w:r/>
            <w:r>
              <w:t>매우 높음</w:t>
            </w:r>
          </w:p>
        </w:tc>
        <w:tc>
          <w:tcPr>
            <w:tcW w:type="dxa" w:w="1728"/>
          </w:tcPr>
          <w:p>
            <w:r/>
            <w:r>
              <w:t>세제·상속 설계 적정성</w:t>
            </w:r>
          </w:p>
        </w:tc>
      </w:tr>
    </w:tbl>
    <w:p/>
    <w:p>
      <w:pPr>
        <w:pStyle w:val="Heading2"/>
      </w:pPr>
      <w:r>
        <w:t>3. 수요 공백 영역</w:t>
      </w:r>
    </w:p>
    <w:p>
      <w:pPr>
        <w:pStyle w:val="Heading3"/>
      </w:pPr>
      <w:r>
        <w:t>1) 인컴형 상품의 과열과 공백</w:t>
      </w:r>
    </w:p>
    <w:p>
      <w:r>
        <w:t>인컴 수요는 크지만 공급 구조는 편중됨. 커버드콜 ETF가 증명한 것은 "매달 들어오는 돈"에 대한 수요가 예상보다 크다는 사실이나, 라인업이 옵션 프리미엄 기반에 쏠려 고분배율 경쟁이 벌어졌고 규제 개입을 불렀음.</w:t>
      </w:r>
    </w:p>
    <w:p>
      <w:r>
        <w:t>공백은 분배 재원이 투명하고 원금 훼손 가능성이 낮은 인컴 상품임. 채권·리츠·배당·연금을 조합한 라인은 마진은 낮지만 판매 리스크가 낮아 장기 잔고 확보에 유리함.</w:t>
      </w:r>
    </w:p>
    <w:p>
      <w:pPr>
        <w:pStyle w:val="Heading3"/>
      </w:pPr>
      <w:r>
        <w:t>2) 연금 인출기 상품 부재</w:t>
      </w:r>
    </w:p>
    <w:p>
      <w:r>
        <w:t>가장 큰 공백임. 500조원 안팎(추정) 규모의 퇴직연금 시장에서 적립 상품은 넘치지만 "얼마씩 몇 년간 어떻게 인출할 것인가"를 설계해주는 상품은 사실상 비어 있음.</w:t>
      </w:r>
    </w:p>
    <w:p>
      <w:r>
        <w:t>원인은 구조적임. 인출기 상품은 수명·시퀀스 리스크와 세제가 동시에 얽혀 단일 사업부가 설계하기 어렵고 판매 시점 수수료가 작아 채널 유인도 약함. 이 난이도가 곧 진입장벽이며, 계열 3사를 보유한 사업자만 인출·보장·신탁을 묶을 수 있음.</w:t>
      </w:r>
    </w:p>
    <w:p>
      <w:pPr>
        <w:pStyle w:val="Heading3"/>
      </w:pPr>
      <w:r>
        <w:t>3) 환헤지 선택권과 상품 설계</w:t>
      </w:r>
    </w:p>
    <w:p>
      <w:r>
        <w:t>해외자산 비중이 커지며 환헤지 선택은 부가 기능이 아니라 상품 선택 자체가 됐음. 동일 지수 추종 상품도 (H) 여부에 따라 성과가 크게 갈렸음.</w:t>
      </w:r>
    </w:p>
    <w:p>
      <w:r>
        <w:t>공백은 선택권 자체가 아니라 선택을 돕는 설명임. 환율 시나리오별 손익과 헤지 비용을 표준화해 제시하는 사업자가 없으며, 감독 관심이 "이해하지 못한 위험"에 집중된 상황에서 환헤지 설명 체계 정비는 해외 라인 확대의 전제 조건임.</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r>
            <w:r>
              <w:rPr>
                <w:b/>
              </w:rPr>
              <w:t>공백 영역</w:t>
            </w:r>
          </w:p>
        </w:tc>
        <w:tc>
          <w:tcPr>
            <w:tcW w:type="dxa" w:w="2160"/>
          </w:tcPr>
          <w:p>
            <w:r>
              <w:rPr>
                <w:b/>
              </w:rPr>
            </w:r>
            <w:r>
              <w:rPr>
                <w:b/>
              </w:rPr>
              <w:t>수요 근거</w:t>
            </w:r>
          </w:p>
        </w:tc>
        <w:tc>
          <w:tcPr>
            <w:tcW w:type="dxa" w:w="2160"/>
          </w:tcPr>
          <w:p>
            <w:r>
              <w:rPr>
                <w:b/>
              </w:rPr>
            </w:r>
            <w:r>
              <w:rPr>
                <w:b/>
              </w:rPr>
              <w:t>현재 공급 상태</w:t>
            </w:r>
          </w:p>
        </w:tc>
        <w:tc>
          <w:tcPr>
            <w:tcW w:type="dxa" w:w="2160"/>
          </w:tcPr>
          <w:p>
            <w:r>
              <w:rPr>
                <w:b/>
              </w:rPr>
            </w:r>
            <w:r>
              <w:rPr>
                <w:b/>
              </w:rPr>
              <w:t>우리 회사 진입 조건</w:t>
            </w:r>
          </w:p>
        </w:tc>
      </w:tr>
      <w:tr>
        <w:tc>
          <w:tcPr>
            <w:tcW w:type="dxa" w:w="2160"/>
          </w:tcPr>
          <w:p>
            <w:r/>
            <w:r>
              <w:t>분배 재원 투명 인컴</w:t>
            </w:r>
          </w:p>
        </w:tc>
        <w:tc>
          <w:tcPr>
            <w:tcW w:type="dxa" w:w="2160"/>
          </w:tcPr>
          <w:p>
            <w:r/>
            <w:r>
              <w:t>월배당 수요 급증</w:t>
            </w:r>
          </w:p>
        </w:tc>
        <w:tc>
          <w:tcPr>
            <w:tcW w:type="dxa" w:w="2160"/>
          </w:tcPr>
          <w:p>
            <w:r/>
            <w:r>
              <w:t>옵션 프리미엄 편중</w:t>
            </w:r>
          </w:p>
        </w:tc>
        <w:tc>
          <w:tcPr>
            <w:tcW w:type="dxa" w:w="2160"/>
          </w:tcPr>
          <w:p>
            <w:r/>
            <w:r>
              <w:t>채권·리츠·배당 조합, 재원 공시</w:t>
            </w:r>
          </w:p>
        </w:tc>
      </w:tr>
      <w:tr>
        <w:tc>
          <w:tcPr>
            <w:tcW w:type="dxa" w:w="2160"/>
          </w:tcPr>
          <w:p>
            <w:r/>
            <w:r>
              <w:t>연금 인출기 설계</w:t>
            </w:r>
          </w:p>
        </w:tc>
        <w:tc>
          <w:tcPr>
            <w:tcW w:type="dxa" w:w="2160"/>
          </w:tcPr>
          <w:p>
            <w:r/>
            <w:r>
              <w:t>적립금 500조원 안팎</w:t>
            </w:r>
          </w:p>
        </w:tc>
        <w:tc>
          <w:tcPr>
            <w:tcW w:type="dxa" w:w="2160"/>
          </w:tcPr>
          <w:p>
            <w:r/>
            <w:r>
              <w:t>사실상 부재</w:t>
            </w:r>
          </w:p>
        </w:tc>
        <w:tc>
          <w:tcPr>
            <w:tcW w:type="dxa" w:w="2160"/>
          </w:tcPr>
          <w:p>
            <w:r/>
            <w:r>
              <w:t>계열 통합 설계, 수명·세제 검증</w:t>
            </w:r>
          </w:p>
        </w:tc>
      </w:tr>
      <w:tr>
        <w:tc>
          <w:tcPr>
            <w:tcW w:type="dxa" w:w="2160"/>
          </w:tcPr>
          <w:p>
            <w:r/>
            <w:r>
              <w:t>중위험 구간 재구축</w:t>
            </w:r>
          </w:p>
        </w:tc>
        <w:tc>
          <w:tcPr>
            <w:tcW w:type="dxa" w:w="2160"/>
          </w:tcPr>
          <w:p>
            <w:r/>
            <w:r>
              <w:t>ELS 이후 신뢰 붕괴</w:t>
            </w:r>
          </w:p>
        </w:tc>
        <w:tc>
          <w:tcPr>
            <w:tcW w:type="dxa" w:w="2160"/>
          </w:tcPr>
          <w:p>
            <w:r/>
            <w:r>
              <w:t>만기매칭형 일부</w:t>
            </w:r>
          </w:p>
        </w:tc>
        <w:tc>
          <w:tcPr>
            <w:tcW w:type="dxa" w:w="2160"/>
          </w:tcPr>
          <w:p>
            <w:r/>
            <w:r>
              <w:t>구조 단순화, 손실 시나리오 고지</w:t>
            </w:r>
          </w:p>
        </w:tc>
      </w:tr>
      <w:tr>
        <w:tc>
          <w:tcPr>
            <w:tcW w:type="dxa" w:w="2160"/>
          </w:tcPr>
          <w:p>
            <w:r/>
            <w:r>
              <w:t>환헤지 선택 지원</w:t>
            </w:r>
          </w:p>
        </w:tc>
        <w:tc>
          <w:tcPr>
            <w:tcW w:type="dxa" w:w="2160"/>
          </w:tcPr>
          <w:p>
            <w:r/>
            <w:r>
              <w:t>해외 잔액 1,500억 달러 안팎</w:t>
            </w:r>
          </w:p>
        </w:tc>
        <w:tc>
          <w:tcPr>
            <w:tcW w:type="dxa" w:w="2160"/>
          </w:tcPr>
          <w:p>
            <w:r/>
            <w:r>
              <w:t>H/UH 병행만 존재</w:t>
            </w:r>
          </w:p>
        </w:tc>
        <w:tc>
          <w:tcPr>
            <w:tcW w:type="dxa" w:w="2160"/>
          </w:tcPr>
          <w:p>
            <w:r/>
            <w:r>
              <w:t>시나리오별 손익 표준 제시</w:t>
            </w:r>
          </w:p>
        </w:tc>
      </w:tr>
      <w:tr>
        <w:tc>
          <w:tcPr>
            <w:tcW w:type="dxa" w:w="2160"/>
          </w:tcPr>
          <w:p>
            <w:r/>
            <w:r>
              <w:t>시니어 통합 솔루션</w:t>
            </w:r>
          </w:p>
        </w:tc>
        <w:tc>
          <w:tcPr>
            <w:tcW w:type="dxa" w:w="2160"/>
          </w:tcPr>
          <w:p>
            <w:r/>
            <w:r>
              <w:t>연금·간병·상속 묶음 수요</w:t>
            </w:r>
          </w:p>
        </w:tc>
        <w:tc>
          <w:tcPr>
            <w:tcW w:type="dxa" w:w="2160"/>
          </w:tcPr>
          <w:p>
            <w:r/>
            <w:r>
              <w:t>사업부별 분절</w:t>
            </w:r>
          </w:p>
        </w:tc>
        <w:tc>
          <w:tcPr>
            <w:tcW w:type="dxa" w:w="2160"/>
          </w:tcPr>
          <w:p>
            <w:r/>
            <w:r>
              <w:t>제휴 서비스망, 대리인 절차</w:t>
            </w:r>
          </w:p>
        </w:tc>
      </w:tr>
    </w:tbl>
    <w:p/>
    <w:p>
      <w:pPr>
        <w:pStyle w:val="Heading2"/>
      </w:pPr>
      <w:r>
        <w:t>4. 신상품 기회 평가 프레임워크</w:t>
      </w:r>
    </w:p>
    <w:p>
      <w:pPr>
        <w:pStyle w:val="Heading3"/>
      </w:pPr>
      <w:r>
        <w:t>1) 수요·수익성·적합도·규제 4축</w:t>
      </w:r>
    </w:p>
    <w:p>
      <w:r>
        <w:t>평가 기준은 네 축으로 고정함. 수요 강도(30%), 수익성(25%), 우리 회사 역량 적합도(25%), 규제 리스크 내성(20%)이며 각 축은 5점 척도임.</w:t>
      </w:r>
    </w:p>
    <w:p>
      <w:r>
        <w:t>정의는 다음과 같음. 수요 강도는 최근 3년 잔액·가입자 증가로 검증된 수요인지, 수익성은 잔고 기반 반복 수익의 크기와 지속성, 적합도는 라이선스·채널·데이터·계열 구조로 실행 가능한지, 규제 내성은 점수가 높을수록 규제 개입과 분쟁 가능성이 낮다는 의미임.</w:t>
      </w:r>
    </w:p>
    <w:p>
      <w:r>
        <w:t>가중치 근거는 손익 구조임. 수요가 없으면 어떤 설계도 무의미하므로 최고 가중치를 두고, 수익성과 적합도를 동등하게 두어 "팔리지만 우리가 못 하는 영역"을 걸러냄. 규제 축은 2점 이하이면 가중 점수와 무관하게 자동 보류로 처리함.</w:t>
      </w:r>
    </w:p>
    <w:p>
      <w:pPr>
        <w:pStyle w:val="Heading3"/>
      </w:pPr>
      <w:r>
        <w:t>2) 신상품 매력도 Top 5</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b/>
              </w:rPr>
            </w:r>
            <w:r>
              <w:rPr>
                <w:b/>
              </w:rPr>
              <w:t>순위</w:t>
            </w:r>
          </w:p>
        </w:tc>
        <w:tc>
          <w:tcPr>
            <w:tcW w:type="dxa" w:w="1234"/>
          </w:tcPr>
          <w:p>
            <w:r>
              <w:rPr>
                <w:b/>
              </w:rPr>
            </w:r>
            <w:r>
              <w:rPr>
                <w:b/>
              </w:rPr>
              <w:t>상품군</w:t>
            </w:r>
          </w:p>
        </w:tc>
        <w:tc>
          <w:tcPr>
            <w:tcW w:type="dxa" w:w="1234"/>
          </w:tcPr>
          <w:p>
            <w:r>
              <w:rPr>
                <w:b/>
              </w:rPr>
            </w:r>
            <w:r>
              <w:rPr>
                <w:b/>
              </w:rPr>
              <w:t>수요(30%)</w:t>
            </w:r>
          </w:p>
        </w:tc>
        <w:tc>
          <w:tcPr>
            <w:tcW w:type="dxa" w:w="1234"/>
          </w:tcPr>
          <w:p>
            <w:r>
              <w:rPr>
                <w:b/>
              </w:rPr>
            </w:r>
            <w:r>
              <w:rPr>
                <w:b/>
              </w:rPr>
              <w:t>수익성(25%)</w:t>
            </w:r>
          </w:p>
        </w:tc>
        <w:tc>
          <w:tcPr>
            <w:tcW w:type="dxa" w:w="1234"/>
          </w:tcPr>
          <w:p>
            <w:r>
              <w:rPr>
                <w:b/>
              </w:rPr>
            </w:r>
            <w:r>
              <w:rPr>
                <w:b/>
              </w:rPr>
              <w:t>적합도(25%)</w:t>
            </w:r>
          </w:p>
        </w:tc>
        <w:tc>
          <w:tcPr>
            <w:tcW w:type="dxa" w:w="1234"/>
          </w:tcPr>
          <w:p>
            <w:r>
              <w:rPr>
                <w:b/>
              </w:rPr>
            </w:r>
            <w:r>
              <w:rPr>
                <w:b/>
              </w:rPr>
              <w:t>규제 내성(20%)</w:t>
            </w:r>
          </w:p>
        </w:tc>
        <w:tc>
          <w:tcPr>
            <w:tcW w:type="dxa" w:w="1234"/>
          </w:tcPr>
          <w:p>
            <w:r>
              <w:rPr>
                <w:b/>
              </w:rPr>
            </w:r>
            <w:r>
              <w:rPr>
                <w:b/>
              </w:rPr>
              <w:t>가중 점수</w:t>
            </w:r>
          </w:p>
        </w:tc>
      </w:tr>
      <w:tr>
        <w:tc>
          <w:tcPr>
            <w:tcW w:type="dxa" w:w="1234"/>
          </w:tcPr>
          <w:p>
            <w:r/>
            <w:r>
              <w:t>1</w:t>
            </w:r>
          </w:p>
        </w:tc>
        <w:tc>
          <w:tcPr>
            <w:tcW w:type="dxa" w:w="1234"/>
          </w:tcPr>
          <w:p>
            <w:r/>
            <w:r>
              <w:t>연금 인출기(디큐뮬레이션) 설계형 월지급 솔루션</w:t>
            </w:r>
          </w:p>
        </w:tc>
        <w:tc>
          <w:tcPr>
            <w:tcW w:type="dxa" w:w="1234"/>
          </w:tcPr>
          <w:p>
            <w:r/>
            <w:r>
              <w:t>5</w:t>
            </w:r>
          </w:p>
        </w:tc>
        <w:tc>
          <w:tcPr>
            <w:tcW w:type="dxa" w:w="1234"/>
          </w:tcPr>
          <w:p>
            <w:r/>
            <w:r>
              <w:t>4</w:t>
            </w:r>
          </w:p>
        </w:tc>
        <w:tc>
          <w:tcPr>
            <w:tcW w:type="dxa" w:w="1234"/>
          </w:tcPr>
          <w:p>
            <w:r/>
            <w:r>
              <w:t>5</w:t>
            </w:r>
          </w:p>
        </w:tc>
        <w:tc>
          <w:tcPr>
            <w:tcW w:type="dxa" w:w="1234"/>
          </w:tcPr>
          <w:p>
            <w:r/>
            <w:r>
              <w:t>4</w:t>
            </w:r>
          </w:p>
        </w:tc>
        <w:tc>
          <w:tcPr>
            <w:tcW w:type="dxa" w:w="1234"/>
          </w:tcPr>
          <w:p>
            <w:r/>
            <w:r>
              <w:t>4.55</w:t>
            </w:r>
          </w:p>
        </w:tc>
      </w:tr>
      <w:tr>
        <w:tc>
          <w:tcPr>
            <w:tcW w:type="dxa" w:w="1234"/>
          </w:tcPr>
          <w:p>
            <w:r/>
            <w:r>
              <w:t>2</w:t>
            </w:r>
          </w:p>
        </w:tc>
        <w:tc>
          <w:tcPr>
            <w:tcW w:type="dxa" w:w="1234"/>
          </w:tcPr>
          <w:p>
            <w:r/>
            <w:r>
              <w:t>퇴직연금 실물이전 대응 저보수 연금 전용 라인업</w:t>
            </w:r>
          </w:p>
        </w:tc>
        <w:tc>
          <w:tcPr>
            <w:tcW w:type="dxa" w:w="1234"/>
          </w:tcPr>
          <w:p>
            <w:r/>
            <w:r>
              <w:t>5</w:t>
            </w:r>
          </w:p>
        </w:tc>
        <w:tc>
          <w:tcPr>
            <w:tcW w:type="dxa" w:w="1234"/>
          </w:tcPr>
          <w:p>
            <w:r/>
            <w:r>
              <w:t>3</w:t>
            </w:r>
          </w:p>
        </w:tc>
        <w:tc>
          <w:tcPr>
            <w:tcW w:type="dxa" w:w="1234"/>
          </w:tcPr>
          <w:p>
            <w:r/>
            <w:r>
              <w:t>5</w:t>
            </w:r>
          </w:p>
        </w:tc>
        <w:tc>
          <w:tcPr>
            <w:tcW w:type="dxa" w:w="1234"/>
          </w:tcPr>
          <w:p>
            <w:r/>
            <w:r>
              <w:t>5</w:t>
            </w:r>
          </w:p>
        </w:tc>
        <w:tc>
          <w:tcPr>
            <w:tcW w:type="dxa" w:w="1234"/>
          </w:tcPr>
          <w:p>
            <w:r/>
            <w:r>
              <w:t>4.50</w:t>
            </w:r>
          </w:p>
        </w:tc>
      </w:tr>
      <w:tr>
        <w:tc>
          <w:tcPr>
            <w:tcW w:type="dxa" w:w="1234"/>
          </w:tcPr>
          <w:p>
            <w:r/>
            <w:r>
              <w:t>3</w:t>
            </w:r>
          </w:p>
        </w:tc>
        <w:tc>
          <w:tcPr>
            <w:tcW w:type="dxa" w:w="1234"/>
          </w:tcPr>
          <w:p>
            <w:r/>
            <w:r>
              <w:t>만기매칭형 채권 중심 분배 재원 투명 인컴 라인</w:t>
            </w:r>
          </w:p>
        </w:tc>
        <w:tc>
          <w:tcPr>
            <w:tcW w:type="dxa" w:w="1234"/>
          </w:tcPr>
          <w:p>
            <w:r/>
            <w:r>
              <w:t>4</w:t>
            </w:r>
          </w:p>
        </w:tc>
        <w:tc>
          <w:tcPr>
            <w:tcW w:type="dxa" w:w="1234"/>
          </w:tcPr>
          <w:p>
            <w:r/>
            <w:r>
              <w:t>3</w:t>
            </w:r>
          </w:p>
        </w:tc>
        <w:tc>
          <w:tcPr>
            <w:tcW w:type="dxa" w:w="1234"/>
          </w:tcPr>
          <w:p>
            <w:r/>
            <w:r>
              <w:t>4</w:t>
            </w:r>
          </w:p>
        </w:tc>
        <w:tc>
          <w:tcPr>
            <w:tcW w:type="dxa" w:w="1234"/>
          </w:tcPr>
          <w:p>
            <w:r/>
            <w:r>
              <w:t>5</w:t>
            </w:r>
          </w:p>
        </w:tc>
        <w:tc>
          <w:tcPr>
            <w:tcW w:type="dxa" w:w="1234"/>
          </w:tcPr>
          <w:p>
            <w:r/>
            <w:r>
              <w:t>3.95</w:t>
            </w:r>
          </w:p>
        </w:tc>
      </w:tr>
      <w:tr>
        <w:tc>
          <w:tcPr>
            <w:tcW w:type="dxa" w:w="1234"/>
          </w:tcPr>
          <w:p>
            <w:r/>
            <w:r>
              <w:t>4</w:t>
            </w:r>
          </w:p>
        </w:tc>
        <w:tc>
          <w:tcPr>
            <w:tcW w:type="dxa" w:w="1234"/>
          </w:tcPr>
          <w:p>
            <w:r/>
            <w:r>
              <w:t>간병·치매 보장과 요양 서비스 결합 시니어 상품</w:t>
            </w:r>
          </w:p>
        </w:tc>
        <w:tc>
          <w:tcPr>
            <w:tcW w:type="dxa" w:w="1234"/>
          </w:tcPr>
          <w:p>
            <w:r/>
            <w:r>
              <w:t>5</w:t>
            </w:r>
          </w:p>
        </w:tc>
        <w:tc>
          <w:tcPr>
            <w:tcW w:type="dxa" w:w="1234"/>
          </w:tcPr>
          <w:p>
            <w:r/>
            <w:r>
              <w:t>4</w:t>
            </w:r>
          </w:p>
        </w:tc>
        <w:tc>
          <w:tcPr>
            <w:tcW w:type="dxa" w:w="1234"/>
          </w:tcPr>
          <w:p>
            <w:r/>
            <w:r>
              <w:t>3</w:t>
            </w:r>
          </w:p>
        </w:tc>
        <w:tc>
          <w:tcPr>
            <w:tcW w:type="dxa" w:w="1234"/>
          </w:tcPr>
          <w:p>
            <w:r/>
            <w:r>
              <w:t>3</w:t>
            </w:r>
          </w:p>
        </w:tc>
        <w:tc>
          <w:tcPr>
            <w:tcW w:type="dxa" w:w="1234"/>
          </w:tcPr>
          <w:p>
            <w:r/>
            <w:r>
              <w:t>3.85</w:t>
            </w:r>
          </w:p>
        </w:tc>
      </w:tr>
      <w:tr>
        <w:tc>
          <w:tcPr>
            <w:tcW w:type="dxa" w:w="1234"/>
          </w:tcPr>
          <w:p>
            <w:r/>
            <w:r>
              <w:t>5</w:t>
            </w:r>
          </w:p>
        </w:tc>
        <w:tc>
          <w:tcPr>
            <w:tcW w:type="dxa" w:w="1234"/>
          </w:tcPr>
          <w:p>
            <w:r/>
            <w:r>
              <w:t>환헤지 선택권 병행 해외자산·해외 인컴 라인</w:t>
            </w:r>
          </w:p>
        </w:tc>
        <w:tc>
          <w:tcPr>
            <w:tcW w:type="dxa" w:w="1234"/>
          </w:tcPr>
          <w:p>
            <w:r/>
            <w:r>
              <w:t>4</w:t>
            </w:r>
          </w:p>
        </w:tc>
        <w:tc>
          <w:tcPr>
            <w:tcW w:type="dxa" w:w="1234"/>
          </w:tcPr>
          <w:p>
            <w:r/>
            <w:r>
              <w:t>3</w:t>
            </w:r>
          </w:p>
        </w:tc>
        <w:tc>
          <w:tcPr>
            <w:tcW w:type="dxa" w:w="1234"/>
          </w:tcPr>
          <w:p>
            <w:r/>
            <w:r>
              <w:t>4</w:t>
            </w:r>
          </w:p>
        </w:tc>
        <w:tc>
          <w:tcPr>
            <w:tcW w:type="dxa" w:w="1234"/>
          </w:tcPr>
          <w:p>
            <w:r/>
            <w:r>
              <w:t>4</w:t>
            </w:r>
          </w:p>
        </w:tc>
        <w:tc>
          <w:tcPr>
            <w:tcW w:type="dxa" w:w="1234"/>
          </w:tcPr>
          <w:p>
            <w:r/>
            <w:r>
              <w:t>3.75</w:t>
            </w:r>
          </w:p>
        </w:tc>
      </w:tr>
    </w:tbl>
    <w:p/>
    <w:p>
      <w:r>
        <w:t>1위는 연금 인출기 설계형 솔루션임. 수요는 초고령사회 진입과 적립금 500조원 안팎(추정)으로 확정돼 있고 공급은 사실상 부재함. 계열 3사를 보유한 우리 회사만 인출·보장·신탁을 한 설계로 묶을 수 있어 적합도가 최고이며, 자문·일임 보수를 잔고 비례로 부과할 수 있어 수익성도 높음. 규제 내성은 인출 시나리오 고지 의무 때문에 4점에 그침.</w:t>
      </w:r>
    </w:p>
    <w:p>
      <w:r>
        <w:t>2위는 실물이전 대응 연금 전용 라인업임. 이전 비용이 사라진 시장에서 라인업과 수수료가 곧 잔고이며 획득 비용이 낮고 잔존 기간이 긴 고객 구조를 가짐. 구조가 단순해 규제 내성은 5점이나 보수 인하 경쟁으로 단위 수익성은 3점에 머묾. 1·2위의 점수 차는 0.05로 사실상 동일 우선순위이며 병행 과제로 다뤄야 함.</w:t>
      </w:r>
    </w:p>
    <w:p>
      <w:r>
        <w:t>3위는 만기매칭형 채권 중심 인컴 라인임. ELS 이후 붕괴된 중위험 구간을 채우는 가장 현실적 수단이며 만기와 표면금리가 확정돼 손실 시나리오 설명이 쉬움. 리테일 채권 순매수 연 30~40조원대라는 검증된 수요를 기반으로 하고, 판매 리스크가 낮아 장기 기여가 큼.</w:t>
      </w:r>
    </w:p>
    <w:p>
      <w:r>
        <w:t>4위는 간병·치매와 요양 서비스 결합 상품임. 수요는 최고 수준이고 CSM 기여도도 높으나, 요양 운영 역량이 본업과 달라 적합도가 3점이고 위험률 데이터 부족으로 손해율 리스크가 커 규제 내성도 3점임. 담보 한도를 단계적으로 개방하는 조건부 추진이 타당함.</w:t>
      </w:r>
    </w:p>
    <w:p>
      <w:r>
        <w:t>5위는 환헤지 선택권을 병행한 해외자산 라인임. 해외 잔액 1,500억 달러 안팎(추정)이라는 수요는 확실하나 상품 차별화가 어렵고 보수 경쟁이 심해 수익성이 낮음. 환율 반전 시 민원이 집중될 수 있어 설명 체계 정비가 선행 조건임.</w:t>
      </w:r>
    </w:p>
    <w:p>
      <w:pPr>
        <w:pStyle w:val="Heading1"/>
      </w:pPr>
      <w:r>
        <w:t>Ⅵ. 상품 전략 로드맵</w:t>
      </w:r>
    </w:p>
    <w:p>
      <w:pPr>
        <w:pStyle w:val="Heading2"/>
      </w:pPr>
      <w:r>
        <w:t>1. 단기 전략 (1년)</w:t>
      </w:r>
    </w:p>
    <w:p>
      <w:pPr>
        <w:pStyle w:val="Heading3"/>
      </w:pPr>
      <w:r>
        <w:t>1) 인컴형 라인업 재정비</w:t>
      </w:r>
    </w:p>
    <w:p>
      <w:r>
        <w:t>고분배율 경쟁에서 이탈하고 분배 재원 투명성으로 포지션을 옮김. 커버드콜 편중 라인을 축소하고 채권·리츠·배당 조합 상품의 비중을 높임.</w:t>
      </w:r>
    </w:p>
    <w:p>
      <w:r>
        <w:t>실행 순서는 세 단계임. 1분기 내 기존 인컴 라인의 분배 재원 전수 점검, 2분기 내 재원 공시 양식과 원금 훼손 시나리오 고지 문구 표준화, 3~4분기 만기매칭형 채권 라인 출시임. 단기 판매량은 감소하므로 판매 목표를 잔고 유지 기간으로 대체해야 함.</w:t>
      </w:r>
    </w:p>
    <w:p>
      <w:pPr>
        <w:pStyle w:val="Heading3"/>
      </w:pPr>
      <w:r>
        <w:t>2) 연금 실물이전 방어·유치</w:t>
      </w:r>
    </w:p>
    <w:p>
      <w:r>
        <w:t>방어와 유치를 동시에 추진함. 방어는 이탈 예상 고객의 사전 접촉과 라인업 보강으로, 유치는 이전 절차의 마찰 제거로 접근하며 신청·서류·상담 경로를 단일 창구로 통합함.</w:t>
      </w:r>
    </w:p>
    <w:p>
      <w:r>
        <w:t>실물이전 국면에서는 상품 자체보다 절차 편의성이 더 효과적인 유치 수단임. 동시에 디폴트 상품 구성을 재점검해 원리금보장형 편중이 수익률 열위와 이전 사유로 이어지지 않도록 조정함.</w:t>
      </w:r>
    </w:p>
    <w:p>
      <w:pPr>
        <w:pStyle w:val="Heading3"/>
      </w:pPr>
      <w:r>
        <w:t>3) 판매 적합성 체계 정비</w:t>
      </w:r>
    </w:p>
    <w:p>
      <w:r>
        <w:t>적합성 체계 정비는 비용이 아니라 취급 가능 상품군을 되찾는 투자임. 절차 신뢰가 없으면 고마진 상품 자체를 다룰 수 없음.</w:t>
      </w:r>
    </w:p>
    <w:p>
      <w:r>
        <w:t>정비 항목은 상품별 대상 고객군과 적합성 기준의 명문화, 채널별 설명의무·녹취 요건 표준화, 손실 시나리오와 고지 방식의 사전 문서화임. 승인 절차에는 "손실 시 어떻게 설명할 것인가"를 한 문장으로 답하는 관문을 추가함.</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r>
            <w:r>
              <w:rPr>
                <w:b/>
              </w:rPr>
              <w:t>단기 전략</w:t>
            </w:r>
          </w:p>
        </w:tc>
        <w:tc>
          <w:tcPr>
            <w:tcW w:type="dxa" w:w="1728"/>
          </w:tcPr>
          <w:p>
            <w:r>
              <w:rPr>
                <w:b/>
              </w:rPr>
            </w:r>
            <w:r>
              <w:rPr>
                <w:b/>
              </w:rPr>
              <w:t>실행 단계</w:t>
            </w:r>
          </w:p>
        </w:tc>
        <w:tc>
          <w:tcPr>
            <w:tcW w:type="dxa" w:w="1728"/>
          </w:tcPr>
          <w:p>
            <w:r>
              <w:rPr>
                <w:b/>
              </w:rPr>
            </w:r>
            <w:r>
              <w:rPr>
                <w:b/>
              </w:rPr>
              <w:t>기대 효과</w:t>
            </w:r>
          </w:p>
        </w:tc>
        <w:tc>
          <w:tcPr>
            <w:tcW w:type="dxa" w:w="1728"/>
          </w:tcPr>
          <w:p>
            <w:r>
              <w:rPr>
                <w:b/>
              </w:rPr>
            </w:r>
            <w:r>
              <w:rPr>
                <w:b/>
              </w:rPr>
              <w:t>리스크</w:t>
            </w:r>
          </w:p>
        </w:tc>
        <w:tc>
          <w:tcPr>
            <w:tcW w:type="dxa" w:w="1728"/>
          </w:tcPr>
          <w:p>
            <w:r>
              <w:rPr>
                <w:b/>
              </w:rPr>
            </w:r>
            <w:r>
              <w:rPr>
                <w:b/>
              </w:rPr>
              <w:t>KPI</w:t>
            </w:r>
          </w:p>
        </w:tc>
      </w:tr>
      <w:tr>
        <w:tc>
          <w:tcPr>
            <w:tcW w:type="dxa" w:w="1728"/>
          </w:tcPr>
          <w:p>
            <w:r/>
            <w:r>
              <w:t>인컴 라인 재정비</w:t>
            </w:r>
          </w:p>
        </w:tc>
        <w:tc>
          <w:tcPr>
            <w:tcW w:type="dxa" w:w="1728"/>
          </w:tcPr>
          <w:p>
            <w:r/>
            <w:r>
              <w:t>전수 점검 → 공시 표준화 → 만기매칭 출시</w:t>
            </w:r>
          </w:p>
        </w:tc>
        <w:tc>
          <w:tcPr>
            <w:tcW w:type="dxa" w:w="1728"/>
          </w:tcPr>
          <w:p>
            <w:r/>
            <w:r>
              <w:t>취급 범위 확대, 민원 감소</w:t>
            </w:r>
          </w:p>
        </w:tc>
        <w:tc>
          <w:tcPr>
            <w:tcW w:type="dxa" w:w="1728"/>
          </w:tcPr>
          <w:p>
            <w:r/>
            <w:r>
              <w:t>단기 판매량 감소</w:t>
            </w:r>
          </w:p>
        </w:tc>
        <w:tc>
          <w:tcPr>
            <w:tcW w:type="dxa" w:w="1728"/>
          </w:tcPr>
          <w:p>
            <w:r/>
            <w:r>
              <w:t>인컴 잔고 유지율, 재원 공시율</w:t>
            </w:r>
          </w:p>
        </w:tc>
      </w:tr>
      <w:tr>
        <w:tc>
          <w:tcPr>
            <w:tcW w:type="dxa" w:w="1728"/>
          </w:tcPr>
          <w:p>
            <w:r/>
            <w:r>
              <w:t>연금 실물이전 대응</w:t>
            </w:r>
          </w:p>
        </w:tc>
        <w:tc>
          <w:tcPr>
            <w:tcW w:type="dxa" w:w="1728"/>
          </w:tcPr>
          <w:p>
            <w:r/>
            <w:r>
              <w:t>이탈군 접촉 → 절차 단일화 → 디폴트 재구성</w:t>
            </w:r>
          </w:p>
        </w:tc>
        <w:tc>
          <w:tcPr>
            <w:tcW w:type="dxa" w:w="1728"/>
          </w:tcPr>
          <w:p>
            <w:r/>
            <w:r>
              <w:t>잔고 순유입 전환</w:t>
            </w:r>
          </w:p>
        </w:tc>
        <w:tc>
          <w:tcPr>
            <w:tcW w:type="dxa" w:w="1728"/>
          </w:tcPr>
          <w:p>
            <w:r/>
            <w:r>
              <w:t>수수료 인하 경쟁</w:t>
            </w:r>
          </w:p>
        </w:tc>
        <w:tc>
          <w:tcPr>
            <w:tcW w:type="dxa" w:w="1728"/>
          </w:tcPr>
          <w:p>
            <w:r/>
            <w:r>
              <w:t>연금 잔고 순증, 유입/유출 비율</w:t>
            </w:r>
          </w:p>
        </w:tc>
      </w:tr>
      <w:tr>
        <w:tc>
          <w:tcPr>
            <w:tcW w:type="dxa" w:w="1728"/>
          </w:tcPr>
          <w:p>
            <w:r/>
            <w:r>
              <w:t>적합성 체계 정비</w:t>
            </w:r>
          </w:p>
        </w:tc>
        <w:tc>
          <w:tcPr>
            <w:tcW w:type="dxa" w:w="1728"/>
          </w:tcPr>
          <w:p>
            <w:r/>
            <w:r>
              <w:t>기준 명문화 → 채널 표준화 → 승인 관문</w:t>
            </w:r>
          </w:p>
        </w:tc>
        <w:tc>
          <w:tcPr>
            <w:tcW w:type="dxa" w:w="1728"/>
          </w:tcPr>
          <w:p>
            <w:r/>
            <w:r>
              <w:t>고마진 상품 취급 회복</w:t>
            </w:r>
          </w:p>
        </w:tc>
        <w:tc>
          <w:tcPr>
            <w:tcW w:type="dxa" w:w="1728"/>
          </w:tcPr>
          <w:p>
            <w:r/>
            <w:r>
              <w:t>초기 판매 효율 저하</w:t>
            </w:r>
          </w:p>
        </w:tc>
        <w:tc>
          <w:tcPr>
            <w:tcW w:type="dxa" w:w="1728"/>
          </w:tcPr>
          <w:p>
            <w:r/>
            <w:r>
              <w:t>민원율, 녹취 이행률</w:t>
            </w:r>
          </w:p>
        </w:tc>
      </w:tr>
      <w:tr>
        <w:tc>
          <w:tcPr>
            <w:tcW w:type="dxa" w:w="1728"/>
          </w:tcPr>
          <w:p>
            <w:r/>
            <w:r>
              <w:t>계좌 기반 획득</w:t>
            </w:r>
          </w:p>
        </w:tc>
        <w:tc>
          <w:tcPr>
            <w:tcW w:type="dxa" w:w="1728"/>
          </w:tcPr>
          <w:p>
            <w:r/>
            <w:r>
              <w:t>ISA·연금 계좌 유치 캠페인</w:t>
            </w:r>
          </w:p>
        </w:tc>
        <w:tc>
          <w:tcPr>
            <w:tcW w:type="dxa" w:w="1728"/>
          </w:tcPr>
          <w:p>
            <w:r/>
            <w:r>
              <w:t>CAC 대비 LTV 개선</w:t>
            </w:r>
          </w:p>
        </w:tc>
        <w:tc>
          <w:tcPr>
            <w:tcW w:type="dxa" w:w="1728"/>
          </w:tcPr>
          <w:p>
            <w:r/>
            <w:r>
              <w:t>계좌만 열고 잔고 미유입</w:t>
            </w:r>
          </w:p>
        </w:tc>
        <w:tc>
          <w:tcPr>
            <w:tcW w:type="dxa" w:w="1728"/>
          </w:tcPr>
          <w:p>
            <w:r/>
            <w:r>
              <w:t>계좌당 잔고, 잔고 유입률</w:t>
            </w:r>
          </w:p>
        </w:tc>
      </w:tr>
    </w:tbl>
    <w:p/>
    <w:p>
      <w:pPr>
        <w:pStyle w:val="Heading2"/>
      </w:pPr>
      <w:r>
        <w:t>2. 중기 전략 (3년)</w:t>
      </w:r>
    </w:p>
    <w:p>
      <w:pPr>
        <w:pStyle w:val="Heading3"/>
      </w:pPr>
      <w:r>
        <w:t>1) 연금 인출기 상품 개발</w:t>
      </w:r>
    </w:p>
    <w:p>
      <w:r>
        <w:t>Top 5 1위 과제이며 중기 전략의 중심임. 적립 상품이 아니라 인출 설계를 상품화하며, 월지급 인출 스케줄·수명 리스크 대응·세제 최적화·보장 연계를 하나의 설계로 묶음.</w:t>
      </w:r>
    </w:p>
    <w:p>
      <w:r>
        <w:t>실행은 3단계임. 1년차 계열 공동 태스크포스 구성과 인출 시뮬레이션 엔진 확보, 2년차 자문·일임 결합형 파일럿의 채널 한정 운영, 3년차 전 채널 확대임. 리스크는 수명·시퀀스 가정 오류와 인출 실패 시 분쟁이며 시나리오 고지와 정기 점검으로 통제함.</w:t>
      </w:r>
    </w:p>
    <w:p>
      <w:pPr>
        <w:pStyle w:val="Heading3"/>
      </w:pPr>
      <w:r>
        <w:t>2) 데이터·AI 개인화 내재화</w:t>
      </w:r>
    </w:p>
    <w:p>
      <w:r>
        <w:t>마이데이터와 생성형 AI를 판매 도구가 아니라 적합성 판단 도구로 내재화함. 고객당 자산 점유율을 관측 지표로 삼고 포트폴리오의 빈 조각을 제안 근거로 사용함.</w:t>
      </w:r>
    </w:p>
    <w:p>
      <w:r>
        <w:t>실행 순서는 추천 근거 로그 체계 구축, 부적합 상품 사전 차단 규칙 설정, 사람 상담 에스컬레이션 경로 확보, 그 다음이 개인화 확대임. 순서를 뒤집으면 효율보다 배상 비용이 커짐.</w:t>
      </w:r>
    </w:p>
    <w:p>
      <w:pPr>
        <w:pStyle w:val="Heading3"/>
      </w:pPr>
      <w:r>
        <w:t>3) 초고령 대응 상품군 확장</w:t>
      </w:r>
    </w:p>
    <w:p>
      <w:r>
        <w:t>간병·치매 담보를 축으로 요양·건강관리 서비스를 결합함. 다만 요양 운영은 본업과 역량이 다르므로 자체 구축이 아니라 제휴·지분 투자로 조달하는 편이 회수 관점에서 유리함.</w:t>
      </w:r>
    </w:p>
    <w:p>
      <w:r>
        <w:t>실행 순서는 담보 한도 단계적 개방과 인수 데이터 축적, 지급 심사 기준 정교화, 요양·헬스케어 제휴망 구축, 상속·증여 신탁과의 연계임.</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r>
            <w:r>
              <w:rPr>
                <w:b/>
              </w:rPr>
              <w:t>중기 전략</w:t>
            </w:r>
          </w:p>
        </w:tc>
        <w:tc>
          <w:tcPr>
            <w:tcW w:type="dxa" w:w="1728"/>
          </w:tcPr>
          <w:p>
            <w:r>
              <w:rPr>
                <w:b/>
              </w:rPr>
            </w:r>
            <w:r>
              <w:rPr>
                <w:b/>
              </w:rPr>
              <w:t>실행 단계</w:t>
            </w:r>
          </w:p>
        </w:tc>
        <w:tc>
          <w:tcPr>
            <w:tcW w:type="dxa" w:w="1728"/>
          </w:tcPr>
          <w:p>
            <w:r>
              <w:rPr>
                <w:b/>
              </w:rPr>
            </w:r>
            <w:r>
              <w:rPr>
                <w:b/>
              </w:rPr>
              <w:t>기대 효과</w:t>
            </w:r>
          </w:p>
        </w:tc>
        <w:tc>
          <w:tcPr>
            <w:tcW w:type="dxa" w:w="1728"/>
          </w:tcPr>
          <w:p>
            <w:r>
              <w:rPr>
                <w:b/>
              </w:rPr>
            </w:r>
            <w:r>
              <w:rPr>
                <w:b/>
              </w:rPr>
              <w:t>리스크</w:t>
            </w:r>
          </w:p>
        </w:tc>
        <w:tc>
          <w:tcPr>
            <w:tcW w:type="dxa" w:w="1728"/>
          </w:tcPr>
          <w:p>
            <w:r>
              <w:rPr>
                <w:b/>
              </w:rPr>
            </w:r>
            <w:r>
              <w:rPr>
                <w:b/>
              </w:rPr>
              <w:t>KPI</w:t>
            </w:r>
          </w:p>
        </w:tc>
      </w:tr>
      <w:tr>
        <w:tc>
          <w:tcPr>
            <w:tcW w:type="dxa" w:w="1728"/>
          </w:tcPr>
          <w:p>
            <w:r/>
            <w:r>
              <w:t>연금 인출기 상품</w:t>
            </w:r>
          </w:p>
        </w:tc>
        <w:tc>
          <w:tcPr>
            <w:tcW w:type="dxa" w:w="1728"/>
          </w:tcPr>
          <w:p>
            <w:r/>
            <w:r>
              <w:t>계열 TF → 채널 한정 파일럿 → 전 채널 확대</w:t>
            </w:r>
          </w:p>
        </w:tc>
        <w:tc>
          <w:tcPr>
            <w:tcW w:type="dxa" w:w="1728"/>
          </w:tcPr>
          <w:p>
            <w:r/>
            <w:r>
              <w:t>자문·일임 보수 확보</w:t>
            </w:r>
          </w:p>
        </w:tc>
        <w:tc>
          <w:tcPr>
            <w:tcW w:type="dxa" w:w="1728"/>
          </w:tcPr>
          <w:p>
            <w:r/>
            <w:r>
              <w:t>가정 오류, 인출 분쟁</w:t>
            </w:r>
          </w:p>
        </w:tc>
        <w:tc>
          <w:tcPr>
            <w:tcW w:type="dxa" w:w="1728"/>
          </w:tcPr>
          <w:p>
            <w:r/>
            <w:r>
              <w:t>인출형 계좌 수, 5년 유지율</w:t>
            </w:r>
          </w:p>
        </w:tc>
      </w:tr>
      <w:tr>
        <w:tc>
          <w:tcPr>
            <w:tcW w:type="dxa" w:w="1728"/>
          </w:tcPr>
          <w:p>
            <w:r/>
            <w:r>
              <w:t>데이터·AI 개인화</w:t>
            </w:r>
          </w:p>
        </w:tc>
        <w:tc>
          <w:tcPr>
            <w:tcW w:type="dxa" w:w="1728"/>
          </w:tcPr>
          <w:p>
            <w:r/>
            <w:r>
              <w:t>로그·차단 규칙 → 에스컬레이션 → 개인화</w:t>
            </w:r>
          </w:p>
        </w:tc>
        <w:tc>
          <w:tcPr>
            <w:tcW w:type="dxa" w:w="1728"/>
          </w:tcPr>
          <w:p>
            <w:r/>
            <w:r>
              <w:t>자문 비용 하락, 교차판매</w:t>
            </w:r>
          </w:p>
        </w:tc>
        <w:tc>
          <w:tcPr>
            <w:tcW w:type="dxa" w:w="1728"/>
          </w:tcPr>
          <w:p>
            <w:r/>
            <w:r>
              <w:t>설명책임, 데이터 사고</w:t>
            </w:r>
          </w:p>
        </w:tc>
        <w:tc>
          <w:tcPr>
            <w:tcW w:type="dxa" w:w="1728"/>
          </w:tcPr>
          <w:p>
            <w:r/>
            <w:r>
              <w:t>자산 점유율, 근거 재현율</w:t>
            </w:r>
          </w:p>
        </w:tc>
      </w:tr>
      <w:tr>
        <w:tc>
          <w:tcPr>
            <w:tcW w:type="dxa" w:w="1728"/>
          </w:tcPr>
          <w:p>
            <w:r/>
            <w:r>
              <w:t>초고령 상품군</w:t>
            </w:r>
          </w:p>
        </w:tc>
        <w:tc>
          <w:tcPr>
            <w:tcW w:type="dxa" w:w="1728"/>
          </w:tcPr>
          <w:p>
            <w:r/>
            <w:r>
              <w:t>담보 개방 → 심사 정교화 → 서비스 제휴</w:t>
            </w:r>
          </w:p>
        </w:tc>
        <w:tc>
          <w:tcPr>
            <w:tcW w:type="dxa" w:w="1728"/>
          </w:tcPr>
          <w:p>
            <w:r/>
            <w:r>
              <w:t>CSM 상위 라인 확보</w:t>
            </w:r>
          </w:p>
        </w:tc>
        <w:tc>
          <w:tcPr>
            <w:tcW w:type="dxa" w:w="1728"/>
          </w:tcPr>
          <w:p>
            <w:r/>
            <w:r>
              <w:t>손해율 악화, 운영 손실</w:t>
            </w:r>
          </w:p>
        </w:tc>
        <w:tc>
          <w:tcPr>
            <w:tcW w:type="dxa" w:w="1728"/>
          </w:tcPr>
          <w:p>
            <w:r/>
            <w:r>
              <w:t>신담보 CSM, 손해율, 유지율</w:t>
            </w:r>
          </w:p>
        </w:tc>
      </w:tr>
    </w:tbl>
    <w:p/>
    <w:p>
      <w:pPr>
        <w:pStyle w:val="Heading2"/>
      </w:pPr>
      <w:r>
        <w:t>3. 장기 전략 (5년)</w:t>
      </w:r>
    </w:p>
    <w:p>
      <w:pPr>
        <w:pStyle w:val="Heading3"/>
      </w:pPr>
      <w:r>
        <w:t>1) 자산관리 플랫폼 전환</w:t>
      </w:r>
    </w:p>
    <w:p>
      <w:r>
        <w:t>경쟁 단위가 상품에서 계좌와 동선으로 이동함. 목표는 대기 자금과 위험 자금이 하나의 계좌 경험 안에서 오갈 수 있는 구조를 완성하는 것이며, 부족 역량은 자체 구축보다 제휴로 조달함.</w:t>
      </w:r>
    </w:p>
    <w:p>
      <w:pPr>
        <w:pStyle w:val="ListBullet"/>
      </w:pPr>
      <w:r>
        <w:t>실행 단계: 계열 앱 통합 → 마이데이터 통합 진단 → 목표 기반 자산배분 제안 → 인출기 관리까지 연결</w:t>
      </w:r>
    </w:p>
    <w:p>
      <w:pPr>
        <w:pStyle w:val="ListBullet"/>
      </w:pPr>
      <w:r>
        <w:t>기대 효과: 잔고 기반 반복 수익 비중 상승, 고객당 상품 수 증가에 따른 이탈 비용 상승</w:t>
      </w:r>
    </w:p>
    <w:p>
      <w:pPr>
        <w:pStyle w:val="ListBullet"/>
      </w:pPr>
      <w:r>
        <w:t>리스크: 플랫폼 투자 대비 회수 지연, 자체 구축 열위 영역에서의 과잉 투자</w:t>
      </w:r>
    </w:p>
    <w:p>
      <w:pPr>
        <w:pStyle w:val="ListBullet"/>
      </w:pPr>
      <w:r>
        <w:t>KPI: 고객당 자산 점유율, 계열 교차 보유율, 비이자수익 비중, 앱 내 잔고 이동 전환율</w:t>
      </w:r>
    </w:p>
    <w:p>
      <w:pPr>
        <w:pStyle w:val="Heading3"/>
      </w:pPr>
      <w:r>
        <w:t>2) 토큰증권·대체자산 대비</w:t>
      </w:r>
    </w:p>
    <w:p>
      <w:r>
        <w:t>준비는 하되 손익 계획에는 반영하지 않음. 토큰증권은 2023년 2월 허용 방침 이후 법제화 지연으로 개화가 미뤄졌고 입법 일정이 곧 사업 일정임.</w:t>
      </w:r>
    </w:p>
    <w:p>
      <w:pPr>
        <w:pStyle w:val="ListBullet"/>
      </w:pPr>
      <w:r>
        <w:t>실행 단계: 현행 법제 내 신탁·수익증권 구조로 부분 구현 → 전환 가능한 시스템 설계 → 법제화 후 출시</w:t>
      </w:r>
    </w:p>
    <w:p>
      <w:pPr>
        <w:pStyle w:val="ListBullet"/>
      </w:pPr>
      <w:r>
        <w:t>기대 효과: 제도 개방 시점의 선점, 대체자산 수요의 자사 계좌 내 흡수</w:t>
      </w:r>
    </w:p>
    <w:p>
      <w:pPr>
        <w:pStyle w:val="ListBullet"/>
      </w:pPr>
      <w:r>
        <w:t>리스크: 입법 지연에 따른 매몰 투자, 대체자산 변동성에 따른 민원</w:t>
      </w:r>
    </w:p>
    <w:p>
      <w:pPr>
        <w:pStyle w:val="ListBullet"/>
      </w:pPr>
      <w:r>
        <w:t>KPI: 대체자산 편입 계좌 비중, 제도 대응 준비도, 관련 민원 건수</w:t>
      </w:r>
    </w:p>
    <w:p>
      <w:r>
        <w:t>금·가상자산은 직접 판매가 아니라 ETF·신탁 등 제도권 래퍼를 통한 소수 비중 편입으로 대응함.</w:t>
      </w:r>
    </w:p>
    <w:p>
      <w:pPr>
        <w:pStyle w:val="Heading2"/>
      </w:pPr>
      <w:r>
        <w:t>4. 조직·투자 전략</w:t>
      </w:r>
    </w:p>
    <w:p>
      <w:pPr>
        <w:pStyle w:val="Heading3"/>
      </w:pPr>
      <w:r>
        <w:t>1) 상품 조직 설계</w:t>
      </w:r>
    </w:p>
    <w:p>
      <w:r>
        <w:t>현재 조직 구조가 최대 공백의 원인임. 연금 인출·간병·요양·상속은 소비자에게 하나의 문제지만 회사 내부에서는 각각 다른 사업부의 상품임.</w:t>
      </w:r>
    </w:p>
    <w:p>
      <w:pPr>
        <w:pStyle w:val="ListBullet"/>
      </w:pPr>
      <w:r>
        <w:t>실행 단계: 계열 공동 상품위원회 신설 → 생애 후반 솔루션 전담 조직 구성 → KPI에 교차 기여 반영</w:t>
      </w:r>
    </w:p>
    <w:p>
      <w:pPr>
        <w:pStyle w:val="ListBullet"/>
      </w:pPr>
      <w:r>
        <w:t>기대 효과: 통합 설계 상품의 출시 주기 단축, 계열 간 고객 이관 마찰 제거</w:t>
      </w:r>
    </w:p>
    <w:p>
      <w:pPr>
        <w:pStyle w:val="ListBullet"/>
      </w:pPr>
      <w:r>
        <w:t>리스크: 사업부 간 수익 배분 갈등, 의사결정 지연</w:t>
      </w:r>
    </w:p>
    <w:p>
      <w:pPr>
        <w:pStyle w:val="ListBullet"/>
      </w:pPr>
      <w:r>
        <w:t>KPI: 통합 상품 출시 건수, 계열 교차 계약 비중, 상품 승인 소요 기간</w:t>
      </w:r>
    </w:p>
    <w:p>
      <w:r>
        <w:t>상품위원회에는 리스크·컴플라이언스의 사전 참여를 의무화함. 사후 검토 구조로는 규제 선반영 설계가 불가능함.</w:t>
      </w:r>
    </w:p>
    <w:p>
      <w:pPr>
        <w:pStyle w:val="Heading3"/>
      </w:pPr>
      <w:r>
        <w:t>2) 제휴·판매채널 전략</w:t>
      </w:r>
    </w:p>
    <w:p>
      <w:r>
        <w:t>자체 개발과 제휴, 판매대행의 선택 기준을 사전에 명문화함. 판단 기준은 자산 결합 가능성과 회수 기간임.</w:t>
      </w:r>
    </w:p>
    <w:p>
      <w:pPr>
        <w:pStyle w:val="ListBullet"/>
      </w:pPr>
      <w:r>
        <w:t>자체 개발: 계열 자산과 결합되고 모방이 어려운 영역 — 연금 인출기, 통합 자산관리</w:t>
      </w:r>
    </w:p>
    <w:p>
      <w:pPr>
        <w:pStyle w:val="ListBullet"/>
      </w:pPr>
      <w:r>
        <w:t>제휴·지분 투자: 운영 역량이 본업과 다른 영역 — 요양·헬스케어, 알고리즘·인프라</w:t>
      </w:r>
    </w:p>
    <w:p>
      <w:pPr>
        <w:pStyle w:val="ListBullet"/>
      </w:pPr>
      <w:r>
        <w:t>판매대행: 제조 마진이 얇고 라인업 폭이 중요한 영역 — 해외지수 ETF, 미니·펫보험</w:t>
      </w:r>
    </w:p>
    <w:p>
      <w:pPr>
        <w:pStyle w:val="ListBullet"/>
      </w:pPr>
      <w:r>
        <w:t>비교 플랫폼 제휴: 신규 유입에 한정하고 비중 상한 사전 설정 — 종속 시 가격 결정력 상실</w:t>
      </w:r>
    </w:p>
    <w:p>
      <w:r>
        <w:t>기대 효과는 투자 회수 기간 단축이며 리스크는 제휴처 의존과 정산·신용 리스크임. KPI는 제휴 채널 유입 비중, 채널별 CAC 대비 LTV, 제휴처 리스크 점검 이행률임.</w:t>
      </w:r>
    </w:p>
    <w:p>
      <w:pPr>
        <w:pStyle w:val="Heading3"/>
      </w:pPr>
      <w:r>
        <w:t>3) 투자 우선순위 매트릭스</w:t>
      </w:r>
    </w:p>
    <w:p>
      <w:r>
        <w:t>투자는 수요와 적합도가 동시에 높은 영역에 집중함. 검증되지 않은 영역은 파일럿 후 확대 원칙을 적용하고 규제 내성 2점 이하 영역은 진입하지 않음.</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r>
            <w:r>
              <w:rPr>
                <w:b/>
              </w:rPr>
              <w:t>영역</w:t>
            </w:r>
          </w:p>
        </w:tc>
        <w:tc>
          <w:tcPr>
            <w:tcW w:type="dxa" w:w="1728"/>
          </w:tcPr>
          <w:p>
            <w:r>
              <w:rPr>
                <w:b/>
              </w:rPr>
            </w:r>
            <w:r>
              <w:rPr>
                <w:b/>
              </w:rPr>
              <w:t>기대 손익 기여</w:t>
            </w:r>
          </w:p>
        </w:tc>
        <w:tc>
          <w:tcPr>
            <w:tcW w:type="dxa" w:w="1728"/>
          </w:tcPr>
          <w:p>
            <w:r>
              <w:rPr>
                <w:b/>
              </w:rPr>
            </w:r>
            <w:r>
              <w:rPr>
                <w:b/>
              </w:rPr>
              <w:t>실행 난이도</w:t>
            </w:r>
          </w:p>
        </w:tc>
        <w:tc>
          <w:tcPr>
            <w:tcW w:type="dxa" w:w="1728"/>
          </w:tcPr>
          <w:p>
            <w:r>
              <w:rPr>
                <w:b/>
              </w:rPr>
            </w:r>
            <w:r>
              <w:rPr>
                <w:b/>
              </w:rPr>
              <w:t>회수 기간</w:t>
            </w:r>
          </w:p>
        </w:tc>
        <w:tc>
          <w:tcPr>
            <w:tcW w:type="dxa" w:w="1728"/>
          </w:tcPr>
          <w:p>
            <w:r>
              <w:rPr>
                <w:b/>
              </w:rPr>
            </w:r>
            <w:r>
              <w:rPr>
                <w:b/>
              </w:rPr>
              <w:t>투자 판단</w:t>
            </w:r>
          </w:p>
        </w:tc>
      </w:tr>
      <w:tr>
        <w:tc>
          <w:tcPr>
            <w:tcW w:type="dxa" w:w="1728"/>
          </w:tcPr>
          <w:p>
            <w:r/>
            <w:r>
              <w:t>연금 인출기 솔루션</w:t>
            </w:r>
          </w:p>
        </w:tc>
        <w:tc>
          <w:tcPr>
            <w:tcW w:type="dxa" w:w="1728"/>
          </w:tcPr>
          <w:p>
            <w:r/>
            <w:r>
              <w:t>높음</w:t>
            </w:r>
          </w:p>
        </w:tc>
        <w:tc>
          <w:tcPr>
            <w:tcW w:type="dxa" w:w="1728"/>
          </w:tcPr>
          <w:p>
            <w:r/>
            <w:r>
              <w:t>높음</w:t>
            </w:r>
          </w:p>
        </w:tc>
        <w:tc>
          <w:tcPr>
            <w:tcW w:type="dxa" w:w="1728"/>
          </w:tcPr>
          <w:p>
            <w:r/>
            <w:r>
              <w:t>중기</w:t>
            </w:r>
          </w:p>
        </w:tc>
        <w:tc>
          <w:tcPr>
            <w:tcW w:type="dxa" w:w="1728"/>
          </w:tcPr>
          <w:p>
            <w:r/>
            <w:r>
              <w:t>최우선 집중 투자</w:t>
            </w:r>
          </w:p>
        </w:tc>
      </w:tr>
      <w:tr>
        <w:tc>
          <w:tcPr>
            <w:tcW w:type="dxa" w:w="1728"/>
          </w:tcPr>
          <w:p>
            <w:r/>
            <w:r>
              <w:t>연금 라인업·이전 대응</w:t>
            </w:r>
          </w:p>
        </w:tc>
        <w:tc>
          <w:tcPr>
            <w:tcW w:type="dxa" w:w="1728"/>
          </w:tcPr>
          <w:p>
            <w:r/>
            <w:r>
              <w:t>중간~높음</w:t>
            </w:r>
          </w:p>
        </w:tc>
        <w:tc>
          <w:tcPr>
            <w:tcW w:type="dxa" w:w="1728"/>
          </w:tcPr>
          <w:p>
            <w:r/>
            <w:r>
              <w:t>낮음</w:t>
            </w:r>
          </w:p>
        </w:tc>
        <w:tc>
          <w:tcPr>
            <w:tcW w:type="dxa" w:w="1728"/>
          </w:tcPr>
          <w:p>
            <w:r/>
            <w:r>
              <w:t>단기</w:t>
            </w:r>
          </w:p>
        </w:tc>
        <w:tc>
          <w:tcPr>
            <w:tcW w:type="dxa" w:w="1728"/>
          </w:tcPr>
          <w:p>
            <w:r/>
            <w:r>
              <w:t>즉시 집행</w:t>
            </w:r>
          </w:p>
        </w:tc>
      </w:tr>
      <w:tr>
        <w:tc>
          <w:tcPr>
            <w:tcW w:type="dxa" w:w="1728"/>
          </w:tcPr>
          <w:p>
            <w:r/>
            <w:r>
              <w:t>적합성·판매 인프라</w:t>
            </w:r>
          </w:p>
        </w:tc>
        <w:tc>
          <w:tcPr>
            <w:tcW w:type="dxa" w:w="1728"/>
          </w:tcPr>
          <w:p>
            <w:r/>
            <w:r>
              <w:t>간접(취급 범위 회복)</w:t>
            </w:r>
          </w:p>
        </w:tc>
        <w:tc>
          <w:tcPr>
            <w:tcW w:type="dxa" w:w="1728"/>
          </w:tcPr>
          <w:p>
            <w:r/>
            <w:r>
              <w:t>중간</w:t>
            </w:r>
          </w:p>
        </w:tc>
        <w:tc>
          <w:tcPr>
            <w:tcW w:type="dxa" w:w="1728"/>
          </w:tcPr>
          <w:p>
            <w:r/>
            <w:r>
              <w:t>단기</w:t>
            </w:r>
          </w:p>
        </w:tc>
        <w:tc>
          <w:tcPr>
            <w:tcW w:type="dxa" w:w="1728"/>
          </w:tcPr>
          <w:p>
            <w:r/>
            <w:r>
              <w:t>즉시 집행</w:t>
            </w:r>
          </w:p>
        </w:tc>
      </w:tr>
      <w:tr>
        <w:tc>
          <w:tcPr>
            <w:tcW w:type="dxa" w:w="1728"/>
          </w:tcPr>
          <w:p>
            <w:r/>
            <w:r>
              <w:t>만기매칭 채권 인컴</w:t>
            </w:r>
          </w:p>
        </w:tc>
        <w:tc>
          <w:tcPr>
            <w:tcW w:type="dxa" w:w="1728"/>
          </w:tcPr>
          <w:p>
            <w:r/>
            <w:r>
              <w:t>중간</w:t>
            </w:r>
          </w:p>
        </w:tc>
        <w:tc>
          <w:tcPr>
            <w:tcW w:type="dxa" w:w="1728"/>
          </w:tcPr>
          <w:p>
            <w:r/>
            <w:r>
              <w:t>낮음</w:t>
            </w:r>
          </w:p>
        </w:tc>
        <w:tc>
          <w:tcPr>
            <w:tcW w:type="dxa" w:w="1728"/>
          </w:tcPr>
          <w:p>
            <w:r/>
            <w:r>
              <w:t>단기</w:t>
            </w:r>
          </w:p>
        </w:tc>
        <w:tc>
          <w:tcPr>
            <w:tcW w:type="dxa" w:w="1728"/>
          </w:tcPr>
          <w:p>
            <w:r/>
            <w:r>
              <w:t>즉시 집행</w:t>
            </w:r>
          </w:p>
        </w:tc>
      </w:tr>
      <w:tr>
        <w:tc>
          <w:tcPr>
            <w:tcW w:type="dxa" w:w="1728"/>
          </w:tcPr>
          <w:p>
            <w:r/>
            <w:r>
              <w:t>간병·요양 결합</w:t>
            </w:r>
          </w:p>
        </w:tc>
        <w:tc>
          <w:tcPr>
            <w:tcW w:type="dxa" w:w="1728"/>
          </w:tcPr>
          <w:p>
            <w:r/>
            <w:r>
              <w:t>중간~높음</w:t>
            </w:r>
          </w:p>
        </w:tc>
        <w:tc>
          <w:tcPr>
            <w:tcW w:type="dxa" w:w="1728"/>
          </w:tcPr>
          <w:p>
            <w:r/>
            <w:r>
              <w:t>높음</w:t>
            </w:r>
          </w:p>
        </w:tc>
        <w:tc>
          <w:tcPr>
            <w:tcW w:type="dxa" w:w="1728"/>
          </w:tcPr>
          <w:p>
            <w:r/>
            <w:r>
              <w:t>장기</w:t>
            </w:r>
          </w:p>
        </w:tc>
        <w:tc>
          <w:tcPr>
            <w:tcW w:type="dxa" w:w="1728"/>
          </w:tcPr>
          <w:p>
            <w:r/>
            <w:r>
              <w:t>단계적·조건부 투자</w:t>
            </w:r>
          </w:p>
        </w:tc>
      </w:tr>
      <w:tr>
        <w:tc>
          <w:tcPr>
            <w:tcW w:type="dxa" w:w="1728"/>
          </w:tcPr>
          <w:p>
            <w:r/>
            <w:r>
              <w:t>데이터·AI 개인화</w:t>
            </w:r>
          </w:p>
        </w:tc>
        <w:tc>
          <w:tcPr>
            <w:tcW w:type="dxa" w:w="1728"/>
          </w:tcPr>
          <w:p>
            <w:r/>
            <w:r>
              <w:t>중간</w:t>
            </w:r>
          </w:p>
        </w:tc>
        <w:tc>
          <w:tcPr>
            <w:tcW w:type="dxa" w:w="1728"/>
          </w:tcPr>
          <w:p>
            <w:r/>
            <w:r>
              <w:t>중간</w:t>
            </w:r>
          </w:p>
        </w:tc>
        <w:tc>
          <w:tcPr>
            <w:tcW w:type="dxa" w:w="1728"/>
          </w:tcPr>
          <w:p>
            <w:r/>
            <w:r>
              <w:t>중기</w:t>
            </w:r>
          </w:p>
        </w:tc>
        <w:tc>
          <w:tcPr>
            <w:tcW w:type="dxa" w:w="1728"/>
          </w:tcPr>
          <w:p>
            <w:r/>
            <w:r>
              <w:t>순차 투자</w:t>
            </w:r>
          </w:p>
        </w:tc>
      </w:tr>
      <w:tr>
        <w:tc>
          <w:tcPr>
            <w:tcW w:type="dxa" w:w="1728"/>
          </w:tcPr>
          <w:p>
            <w:r/>
            <w:r>
              <w:t>토큰증권·대체자산</w:t>
            </w:r>
          </w:p>
        </w:tc>
        <w:tc>
          <w:tcPr>
            <w:tcW w:type="dxa" w:w="1728"/>
          </w:tcPr>
          <w:p>
            <w:r/>
            <w:r>
              <w:t>미확정</w:t>
            </w:r>
          </w:p>
        </w:tc>
        <w:tc>
          <w:tcPr>
            <w:tcW w:type="dxa" w:w="1728"/>
          </w:tcPr>
          <w:p>
            <w:r/>
            <w:r>
              <w:t>높음</w:t>
            </w:r>
          </w:p>
        </w:tc>
        <w:tc>
          <w:tcPr>
            <w:tcW w:type="dxa" w:w="1728"/>
          </w:tcPr>
          <w:p>
            <w:r/>
            <w:r>
              <w:t>장기</w:t>
            </w:r>
          </w:p>
        </w:tc>
        <w:tc>
          <w:tcPr>
            <w:tcW w:type="dxa" w:w="1728"/>
          </w:tcPr>
          <w:p>
            <w:r/>
            <w:r>
              <w:t>최소 투자로 대기</w:t>
            </w:r>
          </w:p>
        </w:tc>
      </w:tr>
      <w:tr>
        <w:tc>
          <w:tcPr>
            <w:tcW w:type="dxa" w:w="1728"/>
          </w:tcPr>
          <w:p>
            <w:r/>
            <w:r>
              <w:t>고난도 구조화 상품</w:t>
            </w:r>
          </w:p>
        </w:tc>
        <w:tc>
          <w:tcPr>
            <w:tcW w:type="dxa" w:w="1728"/>
          </w:tcPr>
          <w:p>
            <w:r/>
            <w:r>
              <w:t>높음(명목)</w:t>
            </w:r>
          </w:p>
        </w:tc>
        <w:tc>
          <w:tcPr>
            <w:tcW w:type="dxa" w:w="1728"/>
          </w:tcPr>
          <w:p>
            <w:r/>
            <w:r>
              <w:t>중간</w:t>
            </w:r>
          </w:p>
        </w:tc>
        <w:tc>
          <w:tcPr>
            <w:tcW w:type="dxa" w:w="1728"/>
          </w:tcPr>
          <w:p>
            <w:r/>
            <w:r>
              <w:t>단기</w:t>
            </w:r>
          </w:p>
        </w:tc>
        <w:tc>
          <w:tcPr>
            <w:tcW w:type="dxa" w:w="1728"/>
          </w:tcPr>
          <w:p>
            <w:r/>
            <w:r>
              <w:t>진입 보류</w:t>
            </w:r>
          </w:p>
        </w:tc>
      </w:tr>
    </w:tbl>
    <w:p/>
    <w:p>
      <w:pPr>
        <w:pStyle w:val="Heading2"/>
      </w:pPr>
      <w:r>
        <w:t>5. 최종 전략 제언</w:t>
      </w:r>
    </w:p>
    <w:p>
      <w:pPr>
        <w:pStyle w:val="Heading3"/>
      </w:pPr>
      <w:r>
        <w:t>1) 출시 vs 관망 판단 기준</w:t>
      </w:r>
    </w:p>
    <w:p>
      <w:r>
        <w:t>출시 여부는 다섯 개 질문으로 판정함. 하나라도 부정이면 관망 또는 재설계 대상임.</w:t>
      </w:r>
    </w:p>
    <w:p>
      <w:pPr>
        <w:pStyle w:val="ListBullet"/>
      </w:pPr>
      <w:r>
        <w:t>손실 시나리오를 판매 자료 첫 화면에서 한 문장으로 설명할 수 있는가</w:t>
      </w:r>
    </w:p>
    <w:p>
      <w:pPr>
        <w:pStyle w:val="ListBullet"/>
      </w:pPr>
      <w:r>
        <w:t>제도·세제가 확정된 기반 위에 설계됐는가, 아니면 입법을 전제하는가</w:t>
      </w:r>
    </w:p>
    <w:p>
      <w:pPr>
        <w:pStyle w:val="ListBullet"/>
      </w:pPr>
      <w:r>
        <w:t>판매 시점 수수료가 아니라 잔고 기반 반복 수익을 만드는가</w:t>
      </w:r>
    </w:p>
    <w:p>
      <w:pPr>
        <w:pStyle w:val="ListBullet"/>
      </w:pPr>
      <w:r>
        <w:t>채널 원가 구조가 성립하는가, 특히 건당 단가가 모집비용을 넘는가</w:t>
      </w:r>
    </w:p>
    <w:p>
      <w:pPr>
        <w:pStyle w:val="ListBullet"/>
      </w:pPr>
      <w:r>
        <w:t>우리 회사의 라이선스·채널·데이터로 실행 가능한가</w:t>
      </w:r>
    </w:p>
    <w:p>
      <w:r>
        <w:t>관망 영역도 명시함. 토큰증권은 법제화 전까지, 고난도 구조화 상품은 적합성 체계 정비 완료 전까지, 요양 자체 운영은 인수 데이터 축적 전까지 보류함.</w:t>
      </w:r>
    </w:p>
    <w:p>
      <w:pPr>
        <w:pStyle w:val="Heading3"/>
      </w:pPr>
      <w:r>
        <w:t>2) 성공 조건과 실패 회피</w:t>
      </w:r>
    </w:p>
    <w:p>
      <w:r>
        <w:t>최근 3년의 성공 상품은 예외 없이 구조가 단순하고 결과가 눈에 보였음. 파킹통장의 매일 이자, 월배당의 매달 입금, 개인투자용 국채의 만기 확정이 그 예임.</w:t>
      </w:r>
    </w:p>
    <w:p>
      <w:r>
        <w:t>실패 경로도 반복적임. 가정이나 표기를 공격적으로 잡아 만든 우위는 감독 개입으로 회수되고, 제도 신설을 전제한 상품은 입법 지연으로 대기하며, 건당 단가가 낮은 상품은 채널 원가를 넘지 못함. 지킬 원칙은 확정된 제도 위에 설계할 것, 잔고 지향으로 목표를 세울 것, 수익 상품과 유입 상품의 지표를 분리할 것, 테마 상품에는 청산 기준을 함께 설계할 것임.</w:t>
      </w:r>
    </w:p>
    <w:p>
      <w:pPr>
        <w:pStyle w:val="Heading3"/>
      </w:pPr>
      <w:r>
        <w:t>3) 금융 상품 시장의 구조적 전망</w:t>
      </w:r>
    </w:p>
    <w:p>
      <w:r>
        <w:t>향후 3~5년의 경쟁은 세 축에서 결정됨. 첫째, 수익 구조가 거래에서 잔고로 재편됨. 퇴직연금 500조원 안팎(추정)과 ETF 200조원 돌파가 상징하듯 승부는 유치보다 유지에서 갈림. 둘째, 경쟁 단위가 상품에서 고객의 생애 재무 문제 전체로 이동함. 초고령사회 진입, 연금 자산 축적, 투자의 세계화, 접점의 플랫폼 이동은 되돌아가지 않는 변화임.</w:t>
      </w:r>
    </w:p>
    <w:p>
      <w:r>
        <w:t>셋째, 규제가 사후 검토 항목에서 사전 설계 변수로 격상됨. ELS 배상, 환급률 규제, 5세대 실손 개편 논의가 공통으로 보여준 것은 규제가 상품의 존속을 결정한다는 사실임.</w:t>
      </w:r>
    </w:p>
    <w:p>
      <w:r>
        <w:t>이 보고서의 판단은 하나로 수렴함. 우리 회사의 승부처는 연금 인출기와 초고령 통합 솔루션이며, 이 영역은 계열 구조를 가진 사업자만 설계할 수 있는 동시에 아직 선점자가 없음. 실물이전으로 연금 자금이 매 분기 이동하고 초고령 진입이 이미 시작된 상황에서 착수 지연은 그대로 잔고와 선점 기회의 상실로 계산됨.</w:t>
      </w:r>
    </w:p>
    <w:p>
      <w:r>
        <w:t>경영진에 요청하는 결정 사항은 세 가지임. 연금 인출기 솔루션의 계열 공동 추진 승인과 투자 총액 상한 확정, 고난도 구조화 상품의 취급 재개 시점을 적합성 체계 정비 완료와 연동하는 원칙 확정, 요양·헬스케어의 자체 구축 대비 제휴 방식 채택 여부임. 세 건 모두 이번 분기 내 결정이 필요하며, 결정을 미루는 것 자체가 하나의 선택임을 명확히 함.</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맑은 고딕" w:hAnsi="맑은 고딕"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맑은 고딕" w:hAnsi="맑은 고딕" w:eastAsia="맑은 고딕"/>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맑은 고딕" w:hAnsi="맑은 고딕" w:eastAsia="맑은 고딕"/>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맑은 고딕" w:hAnsi="맑은 고딕" w:eastAsia="맑은 고딕"/>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맑은 고딕" w:hAnsi="맑은 고딕" w:eastAsia="맑은 고딕"/>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